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813C4" w14:textId="0C3D390C" w:rsidR="00145935" w:rsidRDefault="00145935">
      <w:pPr>
        <w:pStyle w:val="Graphic"/>
      </w:pPr>
    </w:p>
    <w:p w14:paraId="53BB1015" w14:textId="77777777" w:rsidR="00AE0F33" w:rsidRPr="00AE0F33" w:rsidRDefault="00AE0F33">
      <w:pPr>
        <w:pStyle w:val="Graphic"/>
        <w:rPr>
          <w:sz w:val="14"/>
        </w:rPr>
      </w:pPr>
    </w:p>
    <w:p w14:paraId="4A64D337" w14:textId="6DBB9EBF" w:rsidR="00145935" w:rsidRDefault="00F6357B" w:rsidP="0089247B">
      <w:pPr>
        <w:pStyle w:val="Heading2"/>
        <w:spacing w:before="240"/>
      </w:pPr>
      <w:r>
        <w:t xml:space="preserve">Progress Toward Tenure Review </w:t>
      </w:r>
    </w:p>
    <w:p w14:paraId="1907B9CD" w14:textId="7FF874E2" w:rsidR="00145935" w:rsidRPr="0089247B" w:rsidRDefault="00F817D9" w:rsidP="00535C91">
      <w:pPr>
        <w:pStyle w:val="Heading3"/>
        <w:rPr>
          <w:color w:val="auto"/>
        </w:rPr>
      </w:pPr>
      <w:r w:rsidRPr="0089247B">
        <w:rPr>
          <w:color w:val="auto"/>
        </w:rPr>
        <w:t>General Instructions</w:t>
      </w:r>
    </w:p>
    <w:p w14:paraId="10817CC0" w14:textId="0CEDEFC5" w:rsidR="00F817D9" w:rsidRPr="00F817D9" w:rsidRDefault="00F817D9" w:rsidP="00200C6D">
      <w:pPr>
        <w:spacing w:after="3" w:line="248" w:lineRule="auto"/>
        <w:ind w:left="101" w:right="0" w:hanging="10"/>
        <w:rPr>
          <w:rFonts w:ascii="Gadugi" w:eastAsia="Garamond" w:hAnsi="Gadugi" w:cs="Garamond"/>
          <w:color w:val="000000"/>
          <w:sz w:val="20"/>
          <w:lang w:eastAsia="en-US"/>
        </w:rPr>
      </w:pPr>
      <w:r w:rsidRPr="00F817D9">
        <w:rPr>
          <w:rFonts w:ascii="Gadugi" w:eastAsia="Garamond" w:hAnsi="Gadugi" w:cs="Garamond"/>
          <w:color w:val="000000"/>
          <w:sz w:val="20"/>
          <w:lang w:eastAsia="en-US"/>
        </w:rPr>
        <w:t xml:space="preserve">The criteria and procedures </w:t>
      </w:r>
      <w:r w:rsidR="009841A1">
        <w:rPr>
          <w:rFonts w:ascii="Gadugi" w:eastAsia="Garamond" w:hAnsi="Gadugi" w:cs="Garamond"/>
          <w:color w:val="000000"/>
          <w:sz w:val="20"/>
          <w:lang w:eastAsia="en-US"/>
        </w:rPr>
        <w:t>for promotion and tenure reviews at the University of Kansas are set forth</w:t>
      </w:r>
      <w:r w:rsidRPr="00F817D9">
        <w:rPr>
          <w:rFonts w:ascii="Gadugi" w:eastAsia="Garamond" w:hAnsi="Gadugi" w:cs="Garamond"/>
          <w:color w:val="000000"/>
          <w:sz w:val="20"/>
          <w:lang w:eastAsia="en-US"/>
        </w:rPr>
        <w:t xml:space="preserve"> in the </w:t>
      </w:r>
      <w:hyperlink r:id="rId9" w:anchor="ArticleVI">
        <w:r w:rsidRPr="00200C6D">
          <w:rPr>
            <w:rStyle w:val="Hyperlink"/>
            <w:rFonts w:ascii="Gadugi" w:hAnsi="Gadugi"/>
            <w:sz w:val="20"/>
            <w:szCs w:val="20"/>
          </w:rPr>
          <w:t>Faculty Senate Rules and Regulations, Article VI</w:t>
        </w:r>
      </w:hyperlink>
      <w:hyperlink r:id="rId10" w:anchor="ArticleVI">
        <w:r w:rsidRPr="00200C6D">
          <w:rPr>
            <w:rStyle w:val="Hyperlink"/>
            <w:rFonts w:ascii="Gadugi" w:hAnsi="Gadugi"/>
            <w:sz w:val="20"/>
            <w:szCs w:val="20"/>
          </w:rPr>
          <w:t>.</w:t>
        </w:r>
      </w:hyperlink>
      <w:r w:rsidRPr="00F817D9">
        <w:rPr>
          <w:rFonts w:ascii="Gadugi" w:eastAsia="Garamond" w:hAnsi="Gadugi" w:cs="Garamond"/>
          <w:color w:val="000000"/>
          <w:sz w:val="20"/>
          <w:lang w:eastAsia="en-US"/>
        </w:rPr>
        <w:t xml:space="preserve"> Candidates and review committee members are encouraged to read this document, as well as the criteria and procedures for promotion and tenure within their home units.</w:t>
      </w:r>
    </w:p>
    <w:p w14:paraId="370D28CF" w14:textId="62FF24E8" w:rsidR="00F817D9" w:rsidRPr="00F817D9" w:rsidRDefault="00F6357B" w:rsidP="00200C6D">
      <w:pPr>
        <w:spacing w:before="240" w:after="3" w:line="248" w:lineRule="auto"/>
        <w:ind w:left="101" w:right="0" w:hanging="10"/>
        <w:rPr>
          <w:rFonts w:ascii="Gadugi" w:eastAsia="Garamond" w:hAnsi="Gadugi" w:cs="Garamond"/>
          <w:color w:val="000000"/>
          <w:sz w:val="20"/>
          <w:lang w:eastAsia="en-US"/>
        </w:rPr>
      </w:pPr>
      <w:r w:rsidRPr="00F6357B">
        <w:rPr>
          <w:rFonts w:ascii="Gadugi" w:eastAsia="Garamond" w:hAnsi="Gadugi" w:cs="Garamond"/>
          <w:color w:val="000000"/>
          <w:sz w:val="20"/>
          <w:lang w:eastAsia="en-US"/>
        </w:rPr>
        <w:t xml:space="preserve">In an effort to provide a realistic experience during </w:t>
      </w:r>
      <w:r w:rsidR="009841A1">
        <w:rPr>
          <w:rFonts w:ascii="Gadugi" w:eastAsia="Garamond" w:hAnsi="Gadugi" w:cs="Garamond"/>
          <w:color w:val="000000"/>
          <w:sz w:val="20"/>
          <w:lang w:eastAsia="en-US"/>
        </w:rPr>
        <w:t xml:space="preserve">the </w:t>
      </w:r>
      <w:r w:rsidRPr="00F6357B">
        <w:rPr>
          <w:rFonts w:ascii="Gadugi" w:eastAsia="Garamond" w:hAnsi="Gadugi" w:cs="Garamond"/>
          <w:color w:val="000000"/>
          <w:sz w:val="20"/>
          <w:lang w:eastAsia="en-US"/>
        </w:rPr>
        <w:t xml:space="preserve">pre-tenure period, candidates complete a series of documents that parallel the ones used for the mandatory promotion and tenure review. The </w:t>
      </w:r>
      <w:r w:rsidR="00D30D1E">
        <w:rPr>
          <w:rFonts w:ascii="Gadugi" w:eastAsia="Garamond" w:hAnsi="Gadugi" w:cs="Garamond"/>
          <w:color w:val="000000"/>
          <w:sz w:val="20"/>
          <w:lang w:eastAsia="en-US"/>
        </w:rPr>
        <w:t>updated</w:t>
      </w:r>
      <w:r w:rsidRPr="00F6357B">
        <w:rPr>
          <w:rFonts w:ascii="Gadugi" w:eastAsia="Garamond" w:hAnsi="Gadugi" w:cs="Garamond"/>
          <w:color w:val="000000"/>
          <w:sz w:val="20"/>
          <w:lang w:eastAsia="en-US"/>
        </w:rPr>
        <w:t xml:space="preserve"> versions of the candidate and evaluation documents that comprise the Progress Toward Tenure Review dossier are posted on</w:t>
      </w:r>
      <w:r w:rsidR="00F817D9" w:rsidRPr="00F817D9">
        <w:rPr>
          <w:rFonts w:ascii="Gadugi" w:eastAsia="Garamond" w:hAnsi="Gadugi" w:cs="Garamond"/>
          <w:color w:val="000000"/>
          <w:sz w:val="20"/>
          <w:lang w:eastAsia="en-US"/>
        </w:rPr>
        <w:t xml:space="preserve"> the </w:t>
      </w:r>
      <w:r w:rsidR="00E316D4">
        <w:rPr>
          <w:rFonts w:ascii="Gadugi" w:eastAsia="Garamond" w:hAnsi="Gadugi" w:cs="Garamond"/>
          <w:color w:val="000000"/>
          <w:sz w:val="20"/>
          <w:lang w:eastAsia="en-US"/>
        </w:rPr>
        <w:t xml:space="preserve">Office of </w:t>
      </w:r>
      <w:r w:rsidR="00F817D9" w:rsidRPr="00F817D9">
        <w:rPr>
          <w:rFonts w:ascii="Gadugi" w:eastAsia="Garamond" w:hAnsi="Gadugi" w:cs="Garamond"/>
          <w:color w:val="000000"/>
          <w:sz w:val="20"/>
          <w:lang w:eastAsia="en-US"/>
        </w:rPr>
        <w:t xml:space="preserve">Faculty </w:t>
      </w:r>
      <w:r w:rsidR="00E316D4">
        <w:rPr>
          <w:rFonts w:ascii="Gadugi" w:eastAsia="Garamond" w:hAnsi="Gadugi" w:cs="Garamond"/>
          <w:color w:val="000000"/>
          <w:sz w:val="20"/>
          <w:lang w:eastAsia="en-US"/>
        </w:rPr>
        <w:t>Affairs</w:t>
      </w:r>
      <w:r w:rsidR="00F817D9" w:rsidRPr="00F817D9">
        <w:rPr>
          <w:rFonts w:ascii="Gadugi" w:eastAsia="Garamond" w:hAnsi="Gadugi" w:cs="Garamond"/>
          <w:color w:val="000000"/>
          <w:sz w:val="20"/>
          <w:lang w:eastAsia="en-US"/>
        </w:rPr>
        <w:t xml:space="preserve"> </w:t>
      </w:r>
      <w:hyperlink r:id="rId11" w:history="1">
        <w:r w:rsidR="00F817D9" w:rsidRPr="00E316D4">
          <w:rPr>
            <w:rStyle w:val="Hyperlink"/>
            <w:rFonts w:ascii="Gadugi" w:hAnsi="Gadugi"/>
            <w:sz w:val="20"/>
            <w:szCs w:val="20"/>
          </w:rPr>
          <w:t>website</w:t>
        </w:r>
      </w:hyperlink>
      <w:r w:rsidR="0062249F">
        <w:t>.</w:t>
      </w:r>
    </w:p>
    <w:p w14:paraId="0EE34D1E" w14:textId="1E2D060B" w:rsidR="00F817D9" w:rsidRPr="00F817D9" w:rsidRDefault="00F817D9" w:rsidP="00200C6D">
      <w:pPr>
        <w:spacing w:before="240" w:after="0" w:line="248" w:lineRule="auto"/>
        <w:ind w:left="101" w:right="0" w:hanging="10"/>
        <w:rPr>
          <w:rFonts w:ascii="Gadugi" w:eastAsia="Garamond" w:hAnsi="Gadugi" w:cs="Garamond"/>
          <w:color w:val="000000"/>
          <w:sz w:val="20"/>
          <w:lang w:eastAsia="en-US"/>
        </w:rPr>
      </w:pPr>
      <w:r w:rsidRPr="00F817D9">
        <w:rPr>
          <w:rFonts w:ascii="Gadugi" w:eastAsia="Garamond" w:hAnsi="Gadugi" w:cs="Garamond"/>
          <w:color w:val="000000"/>
          <w:sz w:val="20"/>
          <w:lang w:eastAsia="en-US"/>
        </w:rPr>
        <w:t xml:space="preserve">The documents are </w:t>
      </w:r>
      <w:r w:rsidR="00D9645F">
        <w:rPr>
          <w:rFonts w:ascii="Gadugi" w:eastAsia="Garamond" w:hAnsi="Gadugi" w:cs="Garamond"/>
          <w:color w:val="000000"/>
          <w:sz w:val="20"/>
          <w:lang w:eastAsia="en-US"/>
        </w:rPr>
        <w:t xml:space="preserve">available </w:t>
      </w:r>
      <w:r w:rsidRPr="00F817D9">
        <w:rPr>
          <w:rFonts w:ascii="Gadugi" w:eastAsia="Garamond" w:hAnsi="Gadugi" w:cs="Garamond"/>
          <w:color w:val="000000"/>
          <w:sz w:val="20"/>
          <w:lang w:eastAsia="en-US"/>
        </w:rPr>
        <w:t xml:space="preserve">in Microsoft Word format to facilitate entering the required information. Instructions for completing the forms are included </w:t>
      </w:r>
      <w:r w:rsidR="009841A1" w:rsidRPr="00F817D9">
        <w:rPr>
          <w:rFonts w:ascii="Gadugi" w:eastAsia="Garamond" w:hAnsi="Gadugi" w:cs="Garamond"/>
          <w:color w:val="000000"/>
          <w:sz w:val="20"/>
          <w:lang w:eastAsia="en-US"/>
        </w:rPr>
        <w:t>in</w:t>
      </w:r>
      <w:r w:rsidRPr="00F817D9">
        <w:rPr>
          <w:rFonts w:ascii="Gadugi" w:eastAsia="Garamond" w:hAnsi="Gadugi" w:cs="Garamond"/>
          <w:color w:val="000000"/>
          <w:sz w:val="20"/>
          <w:lang w:eastAsia="en-US"/>
        </w:rPr>
        <w:t xml:space="preserve"> the documents. </w:t>
      </w:r>
    </w:p>
    <w:p w14:paraId="4112290D" w14:textId="77777777" w:rsidR="00F817D9" w:rsidRPr="00F817D9" w:rsidRDefault="00F817D9" w:rsidP="00F817D9">
      <w:pPr>
        <w:spacing w:after="0" w:line="259" w:lineRule="auto"/>
        <w:ind w:left="91" w:right="0"/>
        <w:rPr>
          <w:rFonts w:ascii="Gadugi" w:eastAsia="Garamond" w:hAnsi="Gadugi" w:cs="Garamond"/>
          <w:color w:val="000000"/>
          <w:sz w:val="20"/>
          <w:lang w:eastAsia="en-US"/>
        </w:rPr>
      </w:pPr>
      <w:r w:rsidRPr="00F817D9">
        <w:rPr>
          <w:rFonts w:ascii="Gadugi" w:eastAsia="Garamond" w:hAnsi="Gadugi" w:cs="Garamond"/>
          <w:color w:val="000000"/>
          <w:sz w:val="20"/>
          <w:lang w:eastAsia="en-US"/>
        </w:rPr>
        <w:t xml:space="preserve"> </w:t>
      </w:r>
    </w:p>
    <w:p w14:paraId="4BA252B0" w14:textId="2C99F01B" w:rsidR="00F54E43" w:rsidRPr="0089247B" w:rsidRDefault="00F6357B" w:rsidP="00F6357B">
      <w:pPr>
        <w:pStyle w:val="Heading3"/>
        <w:spacing w:before="0" w:after="0"/>
        <w:rPr>
          <w:color w:val="auto"/>
        </w:rPr>
      </w:pPr>
      <w:r w:rsidRPr="0089247B">
        <w:rPr>
          <w:color w:val="auto"/>
        </w:rPr>
        <w:t>Candidate Documents</w:t>
      </w:r>
    </w:p>
    <w:p w14:paraId="2D4B0068" w14:textId="77777777" w:rsidR="00F54E43" w:rsidRDefault="00F54E43" w:rsidP="00F54E43">
      <w:pPr>
        <w:ind w:left="0"/>
        <w:rPr>
          <w:rFonts w:ascii="Gadugi" w:hAnsi="Gadugi"/>
          <w:sz w:val="2"/>
        </w:rPr>
      </w:pPr>
    </w:p>
    <w:p w14:paraId="7928C49E" w14:textId="47299994" w:rsidR="00F6357B" w:rsidRPr="00F6357B" w:rsidRDefault="00F6357B" w:rsidP="00F6357B">
      <w:pPr>
        <w:pStyle w:val="ListParagraph"/>
        <w:numPr>
          <w:ilvl w:val="0"/>
          <w:numId w:val="1"/>
        </w:numPr>
        <w:rPr>
          <w:rFonts w:ascii="Gadugi" w:hAnsi="Gadugi"/>
          <w:sz w:val="20"/>
        </w:rPr>
      </w:pPr>
      <w:r w:rsidRPr="00F6357B">
        <w:rPr>
          <w:rFonts w:ascii="Gadugi" w:hAnsi="Gadugi"/>
          <w:sz w:val="20"/>
        </w:rPr>
        <w:t xml:space="preserve">Candidate PTTR CV – this document includes the candidate’s promotion and tenure CV. Candidates may use the </w:t>
      </w:r>
      <w:r w:rsidR="009841A1">
        <w:rPr>
          <w:rFonts w:ascii="Gadugi" w:hAnsi="Gadugi"/>
          <w:sz w:val="20"/>
        </w:rPr>
        <w:t>MS Word</w:t>
      </w:r>
      <w:r w:rsidRPr="00F6357B">
        <w:rPr>
          <w:rFonts w:ascii="Gadugi" w:hAnsi="Gadugi"/>
          <w:sz w:val="20"/>
        </w:rPr>
        <w:t xml:space="preserve"> template provided OR generate a draft of their PTTR CV using the</w:t>
      </w:r>
      <w:r w:rsidR="00200C6D">
        <w:rPr>
          <w:rFonts w:ascii="Gadugi" w:hAnsi="Gadugi"/>
          <w:sz w:val="20"/>
        </w:rPr>
        <w:t xml:space="preserve"> </w:t>
      </w:r>
      <w:hyperlink r:id="rId12" w:history="1">
        <w:r w:rsidR="00200C6D" w:rsidRPr="00200C6D">
          <w:rPr>
            <w:rStyle w:val="Hyperlink"/>
            <w:rFonts w:ascii="Gadugi" w:hAnsi="Gadugi"/>
            <w:sz w:val="20"/>
          </w:rPr>
          <w:t>Faculty Insight CV tool</w:t>
        </w:r>
      </w:hyperlink>
      <w:r w:rsidRPr="00F6357B">
        <w:rPr>
          <w:rFonts w:ascii="Gadugi" w:hAnsi="Gadugi"/>
          <w:sz w:val="20"/>
        </w:rPr>
        <w:t>.</w:t>
      </w:r>
    </w:p>
    <w:p w14:paraId="7745CCB0" w14:textId="77777777" w:rsidR="00F6357B" w:rsidRPr="00F6357B" w:rsidRDefault="00F6357B" w:rsidP="00F6357B">
      <w:pPr>
        <w:pStyle w:val="ListParagraph"/>
        <w:numPr>
          <w:ilvl w:val="0"/>
          <w:numId w:val="1"/>
        </w:numPr>
        <w:rPr>
          <w:rFonts w:ascii="Gadugi" w:hAnsi="Gadugi"/>
          <w:sz w:val="20"/>
        </w:rPr>
      </w:pPr>
      <w:r w:rsidRPr="00F6357B">
        <w:rPr>
          <w:rFonts w:ascii="Gadugi" w:hAnsi="Gadugi"/>
          <w:sz w:val="20"/>
        </w:rPr>
        <w:t>Candidate PTTR Statement – this document includes the candidate’s statements on teaching, research, and/or, for librarians and some academic staff, professional performance, and service.</w:t>
      </w:r>
    </w:p>
    <w:p w14:paraId="01DB673F" w14:textId="77777777" w:rsidR="00F6357B" w:rsidRPr="00F6357B" w:rsidRDefault="00F6357B" w:rsidP="00F6357B">
      <w:pPr>
        <w:pStyle w:val="ListParagraph"/>
        <w:numPr>
          <w:ilvl w:val="0"/>
          <w:numId w:val="1"/>
        </w:numPr>
        <w:rPr>
          <w:rFonts w:ascii="Gadugi" w:hAnsi="Gadugi"/>
          <w:sz w:val="20"/>
        </w:rPr>
      </w:pPr>
      <w:r w:rsidRPr="00F6357B">
        <w:rPr>
          <w:rFonts w:ascii="Gadugi" w:hAnsi="Gadugi"/>
          <w:sz w:val="20"/>
        </w:rPr>
        <w:t>Candidate PTTR Verification and List of Supplemental Materials – this document includes the candidate’s verification of forms and list of supplemental materials.</w:t>
      </w:r>
    </w:p>
    <w:p w14:paraId="199CD20B" w14:textId="0DD5B2C9" w:rsidR="00AA41AA" w:rsidRPr="0089247B" w:rsidRDefault="00F817D9" w:rsidP="008E763F">
      <w:pPr>
        <w:keepNext/>
        <w:keepLines/>
        <w:pBdr>
          <w:top w:val="single" w:sz="8" w:space="1" w:color="auto"/>
          <w:bottom w:val="single" w:sz="8" w:space="1" w:color="auto"/>
        </w:pBdr>
        <w:shd w:val="clear" w:color="auto" w:fill="F2F2F2" w:themeFill="background1" w:themeFillShade="F2"/>
        <w:spacing w:before="360" w:after="0"/>
        <w:jc w:val="center"/>
        <w:outlineLvl w:val="2"/>
        <w:rPr>
          <w:rFonts w:asciiTheme="majorHAnsi" w:eastAsiaTheme="majorEastAsia" w:hAnsiTheme="majorHAnsi" w:cstheme="majorBidi"/>
          <w:b/>
          <w:bCs/>
          <w:sz w:val="24"/>
          <w:szCs w:val="24"/>
        </w:rPr>
      </w:pPr>
      <w:r w:rsidRPr="0089247B">
        <w:rPr>
          <w:rFonts w:asciiTheme="majorHAnsi" w:eastAsiaTheme="majorEastAsia" w:hAnsiTheme="majorHAnsi" w:cstheme="majorBidi"/>
          <w:b/>
          <w:bCs/>
          <w:sz w:val="24"/>
          <w:szCs w:val="24"/>
        </w:rPr>
        <w:t>Candidate Responsibility</w:t>
      </w:r>
    </w:p>
    <w:p w14:paraId="3032AD5D" w14:textId="77777777" w:rsidR="008E763F" w:rsidRPr="008E763F" w:rsidRDefault="008E763F" w:rsidP="008E763F">
      <w:pPr>
        <w:widowControl w:val="0"/>
        <w:spacing w:after="0"/>
        <w:rPr>
          <w:rFonts w:ascii="Gadugi" w:hAnsi="Gadugi"/>
          <w:sz w:val="8"/>
          <w:szCs w:val="24"/>
        </w:rPr>
      </w:pPr>
    </w:p>
    <w:p w14:paraId="2F8E0290" w14:textId="4F109FF1" w:rsidR="00F6357B" w:rsidRPr="00F6357B" w:rsidRDefault="00F6357B" w:rsidP="00F6357B">
      <w:pPr>
        <w:widowControl w:val="0"/>
        <w:spacing w:before="240" w:after="0"/>
        <w:ind w:left="0"/>
        <w:rPr>
          <w:rFonts w:ascii="Gadugi" w:hAnsi="Gadugi"/>
          <w:sz w:val="20"/>
          <w:szCs w:val="24"/>
        </w:rPr>
      </w:pPr>
      <w:r w:rsidRPr="00F6357B">
        <w:rPr>
          <w:rFonts w:ascii="Gadugi" w:hAnsi="Gadugi"/>
          <w:sz w:val="20"/>
          <w:szCs w:val="24"/>
        </w:rPr>
        <w:t xml:space="preserve">The candidate is responsible for assembling the materials, completing the three candidate forms (candidate CV, candidate statements, and verification of supplemental materials), and reviewing the final copy and supporting materials to determine that the files are accurate and complete. The candidate then submits the documents electronically to the initial review committee. Candidates </w:t>
      </w:r>
      <w:r w:rsidR="00F2478E">
        <w:rPr>
          <w:rFonts w:ascii="Gadugi" w:hAnsi="Gadugi"/>
          <w:sz w:val="20"/>
          <w:szCs w:val="24"/>
        </w:rPr>
        <w:t xml:space="preserve">with joint appointments should review the joint appointment guidelines with the heads </w:t>
      </w:r>
      <w:r w:rsidRPr="00F6357B">
        <w:rPr>
          <w:rFonts w:ascii="Gadugi" w:hAnsi="Gadugi"/>
          <w:sz w:val="20"/>
          <w:szCs w:val="24"/>
        </w:rPr>
        <w:t>of th</w:t>
      </w:r>
      <w:r>
        <w:rPr>
          <w:rFonts w:ascii="Gadugi" w:hAnsi="Gadugi"/>
          <w:sz w:val="20"/>
          <w:szCs w:val="24"/>
        </w:rPr>
        <w:t>eir units.</w:t>
      </w:r>
    </w:p>
    <w:p w14:paraId="3A25286A" w14:textId="2B9F80CE" w:rsidR="00F6357B" w:rsidRPr="00F6357B" w:rsidRDefault="00F6357B" w:rsidP="00F6357B">
      <w:pPr>
        <w:widowControl w:val="0"/>
        <w:spacing w:before="240" w:after="0"/>
        <w:ind w:left="0"/>
        <w:rPr>
          <w:rFonts w:ascii="Gadugi" w:hAnsi="Gadugi"/>
          <w:sz w:val="20"/>
          <w:szCs w:val="24"/>
        </w:rPr>
      </w:pPr>
      <w:r w:rsidRPr="00F6357B">
        <w:rPr>
          <w:rFonts w:ascii="Gadugi" w:hAnsi="Gadugi"/>
          <w:sz w:val="20"/>
          <w:szCs w:val="24"/>
        </w:rPr>
        <w:t>All sections appropriate to the candidate's appointment must be completed</w:t>
      </w:r>
      <w:r w:rsidR="00F2478E">
        <w:rPr>
          <w:rFonts w:ascii="Gadugi" w:hAnsi="Gadugi"/>
          <w:sz w:val="20"/>
          <w:szCs w:val="24"/>
        </w:rPr>
        <w:t>,</w:t>
      </w:r>
      <w:r w:rsidRPr="00F6357B">
        <w:rPr>
          <w:rFonts w:ascii="Gadugi" w:hAnsi="Gadugi"/>
          <w:sz w:val="20"/>
          <w:szCs w:val="24"/>
        </w:rPr>
        <w:t xml:space="preserve"> and the dossier should contain the material specified on the form. No new materials </w:t>
      </w:r>
      <w:r w:rsidR="00F2478E">
        <w:rPr>
          <w:rFonts w:ascii="Gadugi" w:hAnsi="Gadugi"/>
          <w:sz w:val="20"/>
          <w:szCs w:val="24"/>
        </w:rPr>
        <w:t xml:space="preserve">may be added by the candidate after the initial review (i.e., at the department, center, or school level </w:t>
      </w:r>
      <w:r w:rsidRPr="00F6357B">
        <w:rPr>
          <w:rFonts w:ascii="Gadugi" w:hAnsi="Gadugi"/>
          <w:sz w:val="20"/>
          <w:szCs w:val="24"/>
        </w:rPr>
        <w:t xml:space="preserve">without departments).  </w:t>
      </w:r>
    </w:p>
    <w:p w14:paraId="045522A4" w14:textId="261F98EF" w:rsidR="00D11AB4" w:rsidRPr="0023753E" w:rsidRDefault="00F6357B" w:rsidP="0023753E">
      <w:pPr>
        <w:widowControl w:val="0"/>
        <w:spacing w:before="240" w:after="0"/>
        <w:ind w:left="0"/>
        <w:rPr>
          <w:rFonts w:ascii="Gadugi" w:hAnsi="Gadugi"/>
          <w:sz w:val="20"/>
          <w:szCs w:val="24"/>
        </w:rPr>
      </w:pPr>
      <w:r w:rsidRPr="00F6357B">
        <w:rPr>
          <w:rFonts w:ascii="Gadugi" w:hAnsi="Gadugi"/>
          <w:sz w:val="20"/>
          <w:szCs w:val="24"/>
        </w:rPr>
        <w:t xml:space="preserve">Materials should be prepared by candidates so that relevant information is included in a clear and concise form. The supporting documentation should be well organized. Please use at least </w:t>
      </w:r>
      <w:r w:rsidR="00200C6D" w:rsidRPr="00F6357B">
        <w:rPr>
          <w:rFonts w:ascii="Gadugi" w:hAnsi="Gadugi"/>
          <w:sz w:val="20"/>
          <w:szCs w:val="24"/>
        </w:rPr>
        <w:t>11-point</w:t>
      </w:r>
      <w:r w:rsidRPr="00F6357B">
        <w:rPr>
          <w:rFonts w:ascii="Gadugi" w:hAnsi="Gadugi"/>
          <w:sz w:val="20"/>
          <w:szCs w:val="24"/>
        </w:rPr>
        <w:t xml:space="preserve"> font to make reviewing the information easier for review committees at all levels.</w:t>
      </w:r>
    </w:p>
    <w:p w14:paraId="4CF3C8B2" w14:textId="2A014EC8" w:rsidR="00043F0A" w:rsidRPr="0089247B" w:rsidRDefault="00D00270" w:rsidP="00043F0A">
      <w:pPr>
        <w:pStyle w:val="Heading3"/>
        <w:spacing w:after="0"/>
        <w:rPr>
          <w:color w:val="auto"/>
        </w:rPr>
      </w:pPr>
      <w:r w:rsidRPr="0089247B">
        <w:rPr>
          <w:color w:val="auto"/>
        </w:rPr>
        <w:lastRenderedPageBreak/>
        <w:t>Supporting Materials</w:t>
      </w:r>
    </w:p>
    <w:p w14:paraId="3F673D57" w14:textId="77777777" w:rsidR="00043F0A" w:rsidRPr="00763E6C" w:rsidRDefault="00043F0A" w:rsidP="00043F0A">
      <w:pPr>
        <w:spacing w:after="0"/>
        <w:rPr>
          <w:rFonts w:ascii="Garamond" w:hAnsi="Garamond"/>
          <w:sz w:val="10"/>
          <w:szCs w:val="24"/>
        </w:rPr>
      </w:pPr>
    </w:p>
    <w:p w14:paraId="1BF921A0" w14:textId="7DB23BB9" w:rsidR="00D00270" w:rsidRDefault="00D00270" w:rsidP="00F54E43">
      <w:pPr>
        <w:widowControl w:val="0"/>
        <w:ind w:left="0"/>
        <w:rPr>
          <w:rFonts w:ascii="Gadugi" w:hAnsi="Gadugi"/>
          <w:sz w:val="20"/>
          <w:szCs w:val="24"/>
        </w:rPr>
      </w:pPr>
      <w:r w:rsidRPr="00D00270">
        <w:rPr>
          <w:rFonts w:ascii="Gadugi" w:hAnsi="Gadugi"/>
          <w:sz w:val="20"/>
          <w:szCs w:val="24"/>
        </w:rPr>
        <w:t xml:space="preserve">Candidates are </w:t>
      </w:r>
      <w:r w:rsidRPr="00D00270">
        <w:rPr>
          <w:rFonts w:ascii="Gadugi" w:hAnsi="Gadugi"/>
          <w:sz w:val="20"/>
          <w:szCs w:val="24"/>
          <w:u w:val="single"/>
        </w:rPr>
        <w:t xml:space="preserve">encouraged to submit supporting materials </w:t>
      </w:r>
      <w:r w:rsidR="00E71551" w:rsidRPr="00D00270">
        <w:rPr>
          <w:rFonts w:ascii="Gadugi" w:hAnsi="Gadugi"/>
          <w:sz w:val="20"/>
          <w:szCs w:val="24"/>
          <w:u w:val="single"/>
        </w:rPr>
        <w:t>electronically</w:t>
      </w:r>
      <w:r w:rsidR="00E71551" w:rsidRPr="00D00270">
        <w:rPr>
          <w:rFonts w:ascii="Gadugi" w:hAnsi="Gadugi"/>
          <w:sz w:val="20"/>
          <w:szCs w:val="24"/>
        </w:rPr>
        <w:t>;</w:t>
      </w:r>
      <w:r w:rsidRPr="00D00270">
        <w:rPr>
          <w:rFonts w:ascii="Gadugi" w:hAnsi="Gadugi"/>
          <w:sz w:val="20"/>
          <w:szCs w:val="24"/>
        </w:rPr>
        <w:t xml:space="preserve"> however, electronic submission is required only for the one-page summaries of the numerical student evaluations summary reports. </w:t>
      </w:r>
    </w:p>
    <w:p w14:paraId="74AFE903" w14:textId="444B34A1" w:rsidR="00D00270" w:rsidRDefault="00D00270" w:rsidP="00B1363F">
      <w:pPr>
        <w:pStyle w:val="ListParagraph"/>
        <w:widowControl w:val="0"/>
        <w:numPr>
          <w:ilvl w:val="0"/>
          <w:numId w:val="4"/>
        </w:numPr>
        <w:rPr>
          <w:rFonts w:ascii="Gadugi" w:hAnsi="Gadugi"/>
          <w:sz w:val="20"/>
          <w:szCs w:val="24"/>
        </w:rPr>
      </w:pPr>
      <w:r w:rsidRPr="00D00270">
        <w:rPr>
          <w:rFonts w:ascii="Gadugi" w:hAnsi="Gadugi"/>
          <w:sz w:val="20"/>
          <w:szCs w:val="24"/>
        </w:rPr>
        <w:t xml:space="preserve">Supporting materials submitted as paper copies should be placed in letter-size boxes with file folders labeled Supplemental Folder I, II, </w:t>
      </w:r>
      <w:r w:rsidR="00E316D4" w:rsidRPr="00D00270">
        <w:rPr>
          <w:rFonts w:ascii="Gadugi" w:hAnsi="Gadugi"/>
          <w:sz w:val="20"/>
          <w:szCs w:val="24"/>
        </w:rPr>
        <w:t>etc.</w:t>
      </w:r>
      <w:r w:rsidRPr="00D00270">
        <w:rPr>
          <w:rFonts w:ascii="Gadugi" w:hAnsi="Gadugi"/>
          <w:sz w:val="20"/>
          <w:szCs w:val="24"/>
        </w:rPr>
        <w:t xml:space="preserve"> (or SI, SII, </w:t>
      </w:r>
      <w:r w:rsidR="00E316D4" w:rsidRPr="00D00270">
        <w:rPr>
          <w:rFonts w:ascii="Gadugi" w:hAnsi="Gadugi"/>
          <w:sz w:val="20"/>
          <w:szCs w:val="24"/>
        </w:rPr>
        <w:t>etc.</w:t>
      </w:r>
      <w:r w:rsidRPr="00D00270">
        <w:rPr>
          <w:rFonts w:ascii="Gadugi" w:hAnsi="Gadugi"/>
          <w:sz w:val="20"/>
          <w:szCs w:val="24"/>
        </w:rPr>
        <w:t xml:space="preserve">) </w:t>
      </w:r>
    </w:p>
    <w:p w14:paraId="06C9CE00" w14:textId="77777777" w:rsidR="00D00270" w:rsidRDefault="00D00270" w:rsidP="00B1363F">
      <w:pPr>
        <w:pStyle w:val="ListParagraph"/>
        <w:widowControl w:val="0"/>
        <w:numPr>
          <w:ilvl w:val="0"/>
          <w:numId w:val="4"/>
        </w:numPr>
        <w:rPr>
          <w:rFonts w:ascii="Gadugi" w:hAnsi="Gadugi"/>
          <w:sz w:val="20"/>
          <w:szCs w:val="24"/>
        </w:rPr>
      </w:pPr>
      <w:r w:rsidRPr="00D00270">
        <w:rPr>
          <w:rFonts w:ascii="Gadugi" w:hAnsi="Gadugi"/>
          <w:sz w:val="20"/>
          <w:szCs w:val="24"/>
        </w:rPr>
        <w:t xml:space="preserve">CDs or DVDs of artistic work may also be submitted. </w:t>
      </w:r>
    </w:p>
    <w:p w14:paraId="7953B89E" w14:textId="77777777" w:rsidR="00D00270" w:rsidRDefault="00D00270" w:rsidP="00B1363F">
      <w:pPr>
        <w:pStyle w:val="ListParagraph"/>
        <w:widowControl w:val="0"/>
        <w:numPr>
          <w:ilvl w:val="0"/>
          <w:numId w:val="4"/>
        </w:numPr>
        <w:rPr>
          <w:rFonts w:ascii="Gadugi" w:hAnsi="Gadugi"/>
          <w:sz w:val="20"/>
          <w:szCs w:val="24"/>
        </w:rPr>
      </w:pPr>
      <w:r w:rsidRPr="00D00270">
        <w:rPr>
          <w:rFonts w:ascii="Gadugi" w:hAnsi="Gadugi"/>
          <w:sz w:val="20"/>
          <w:szCs w:val="24"/>
        </w:rPr>
        <w:t>Materials may be placed in b</w:t>
      </w:r>
      <w:r>
        <w:rPr>
          <w:rFonts w:ascii="Gadugi" w:hAnsi="Gadugi"/>
          <w:sz w:val="20"/>
          <w:szCs w:val="24"/>
        </w:rPr>
        <w:t xml:space="preserve">inders to facilitate handling. </w:t>
      </w:r>
    </w:p>
    <w:p w14:paraId="5C4FE6FF" w14:textId="77777777" w:rsidR="00D00270" w:rsidRDefault="00D00270" w:rsidP="00B1363F">
      <w:pPr>
        <w:pStyle w:val="ListParagraph"/>
        <w:widowControl w:val="0"/>
        <w:numPr>
          <w:ilvl w:val="0"/>
          <w:numId w:val="4"/>
        </w:numPr>
        <w:rPr>
          <w:rFonts w:ascii="Gadugi" w:hAnsi="Gadugi"/>
          <w:sz w:val="20"/>
          <w:szCs w:val="24"/>
        </w:rPr>
      </w:pPr>
      <w:r w:rsidRPr="00D00270">
        <w:rPr>
          <w:rFonts w:ascii="Gadugi" w:hAnsi="Gadugi"/>
          <w:sz w:val="20"/>
          <w:szCs w:val="24"/>
        </w:rPr>
        <w:t>All folders and materi</w:t>
      </w:r>
      <w:r>
        <w:rPr>
          <w:rFonts w:ascii="Gadugi" w:hAnsi="Gadugi"/>
          <w:sz w:val="20"/>
          <w:szCs w:val="24"/>
        </w:rPr>
        <w:t xml:space="preserve">als should be clearly labeled. </w:t>
      </w:r>
    </w:p>
    <w:p w14:paraId="4CE23383" w14:textId="55316B85" w:rsidR="00282C60" w:rsidRPr="0089247B" w:rsidRDefault="0023753E" w:rsidP="00282C60">
      <w:pPr>
        <w:pStyle w:val="Heading3"/>
        <w:spacing w:after="0"/>
        <w:rPr>
          <w:color w:val="auto"/>
        </w:rPr>
      </w:pPr>
      <w:r w:rsidRPr="0089247B">
        <w:rPr>
          <w:color w:val="auto"/>
        </w:rPr>
        <w:t>Initial Review Evaluation Documents</w:t>
      </w:r>
    </w:p>
    <w:p w14:paraId="28D60F94" w14:textId="5323A02C" w:rsidR="00D00270" w:rsidRPr="0023753E" w:rsidRDefault="00D00270" w:rsidP="0023753E">
      <w:pPr>
        <w:spacing w:after="0" w:line="259" w:lineRule="auto"/>
        <w:ind w:left="0" w:right="0"/>
        <w:rPr>
          <w:rFonts w:ascii="Gadugi" w:eastAsia="Garamond" w:hAnsi="Gadugi" w:cs="Garamond"/>
          <w:color w:val="000000"/>
          <w:sz w:val="20"/>
          <w:lang w:eastAsia="en-US"/>
        </w:rPr>
      </w:pPr>
    </w:p>
    <w:p w14:paraId="2050D6F1" w14:textId="77777777" w:rsidR="0023753E" w:rsidRPr="0023753E" w:rsidRDefault="0023753E" w:rsidP="0023753E">
      <w:pPr>
        <w:pStyle w:val="ListParagraph"/>
        <w:numPr>
          <w:ilvl w:val="0"/>
          <w:numId w:val="5"/>
        </w:numPr>
        <w:spacing w:after="0" w:line="259" w:lineRule="auto"/>
        <w:ind w:right="0"/>
        <w:rPr>
          <w:rFonts w:ascii="Gadugi" w:eastAsia="Garamond" w:hAnsi="Gadugi" w:cs="Garamond"/>
          <w:color w:val="000000"/>
          <w:sz w:val="20"/>
          <w:lang w:eastAsia="en-US"/>
        </w:rPr>
      </w:pPr>
      <w:r w:rsidRPr="0023753E">
        <w:rPr>
          <w:rFonts w:ascii="Gadugi" w:eastAsia="Garamond" w:hAnsi="Gadugi" w:cs="Garamond"/>
          <w:color w:val="000000"/>
          <w:sz w:val="20"/>
          <w:lang w:eastAsia="en-US"/>
        </w:rPr>
        <w:t>Initial Evaluation – this document includes the candidate’s position description, the initial review unit’s evaluation of the candidate, and the initial review unit’s recommendation on progress toward tenure.</w:t>
      </w:r>
    </w:p>
    <w:p w14:paraId="58528F1A" w14:textId="1355E32E" w:rsidR="0023753E" w:rsidRPr="0023753E" w:rsidRDefault="0023753E" w:rsidP="0023753E">
      <w:pPr>
        <w:pStyle w:val="ListParagraph"/>
        <w:numPr>
          <w:ilvl w:val="0"/>
          <w:numId w:val="5"/>
        </w:numPr>
        <w:spacing w:after="0" w:line="259" w:lineRule="auto"/>
        <w:ind w:right="0"/>
        <w:rPr>
          <w:rFonts w:ascii="Gadugi" w:eastAsia="Garamond" w:hAnsi="Gadugi" w:cs="Garamond"/>
          <w:color w:val="000000"/>
          <w:sz w:val="20"/>
          <w:lang w:eastAsia="en-US"/>
        </w:rPr>
      </w:pPr>
      <w:r w:rsidRPr="0023753E">
        <w:rPr>
          <w:rFonts w:ascii="Gadugi" w:eastAsia="Garamond" w:hAnsi="Gadugi" w:cs="Garamond"/>
          <w:color w:val="000000"/>
          <w:sz w:val="20"/>
          <w:lang w:eastAsia="en-US"/>
        </w:rPr>
        <w:t xml:space="preserve">Peer Evaluations of Teaching and Peer Evaluations of Professional Performance (if applicable) are required. For more information on developing peer observations, please see the Center for Teaching Excellence’s website: </w:t>
      </w:r>
      <w:hyperlink r:id="rId13" w:history="1">
        <w:r w:rsidR="00E71551" w:rsidRPr="00C066D6">
          <w:rPr>
            <w:rStyle w:val="Hyperlink"/>
          </w:rPr>
          <w:t>https://cte.ku.edu/guidance-peer-reviews</w:t>
        </w:r>
      </w:hyperlink>
      <w:r w:rsidR="00E71551">
        <w:t>.</w:t>
      </w:r>
    </w:p>
    <w:p w14:paraId="51D6A62A" w14:textId="77777777" w:rsidR="00BD4B97" w:rsidRPr="00D00270" w:rsidRDefault="00BD4B97" w:rsidP="00BD4B97">
      <w:pPr>
        <w:spacing w:after="0" w:line="248" w:lineRule="auto"/>
        <w:ind w:right="0"/>
        <w:rPr>
          <w:rFonts w:ascii="Gadugi" w:eastAsia="Garamond" w:hAnsi="Gadugi" w:cs="Garamond"/>
          <w:color w:val="000000"/>
          <w:sz w:val="10"/>
          <w:lang w:eastAsia="en-US"/>
        </w:rPr>
      </w:pPr>
    </w:p>
    <w:p w14:paraId="2F72492A" w14:textId="2CF55E44" w:rsidR="00321D37" w:rsidRPr="00321D37" w:rsidRDefault="00321D37" w:rsidP="0023753E">
      <w:pPr>
        <w:spacing w:after="0"/>
        <w:ind w:left="0"/>
        <w:rPr>
          <w:sz w:val="10"/>
        </w:rPr>
      </w:pPr>
    </w:p>
    <w:p w14:paraId="6652F0BB" w14:textId="66CFCA92" w:rsidR="00D00270" w:rsidRPr="00D00270" w:rsidRDefault="00D00270" w:rsidP="00D00270">
      <w:pPr>
        <w:rPr>
          <w:rFonts w:ascii="Gadugi" w:eastAsia="Garamond" w:hAnsi="Gadugi"/>
          <w:b/>
          <w:sz w:val="20"/>
          <w:lang w:eastAsia="en-US"/>
        </w:rPr>
      </w:pPr>
      <w:r w:rsidRPr="00D00270">
        <w:rPr>
          <w:rFonts w:ascii="Gadugi" w:eastAsia="Garamond" w:hAnsi="Gadugi"/>
          <w:b/>
          <w:sz w:val="20"/>
          <w:lang w:eastAsia="en-US"/>
        </w:rPr>
        <w:t xml:space="preserve">Initial Review Committee Responsibility  </w:t>
      </w:r>
    </w:p>
    <w:p w14:paraId="3CE09247" w14:textId="6763170D" w:rsidR="0023753E" w:rsidRPr="0023753E" w:rsidRDefault="0023753E" w:rsidP="0023753E">
      <w:pPr>
        <w:spacing w:after="0" w:line="259" w:lineRule="auto"/>
        <w:ind w:right="0"/>
        <w:rPr>
          <w:rFonts w:ascii="Gadugi" w:eastAsia="Garamond" w:hAnsi="Gadugi" w:cs="Garamond"/>
          <w:color w:val="000000"/>
          <w:sz w:val="20"/>
          <w:lang w:eastAsia="en-US"/>
        </w:rPr>
      </w:pPr>
      <w:r w:rsidRPr="0023753E">
        <w:rPr>
          <w:rFonts w:ascii="Gadugi" w:eastAsia="Garamond" w:hAnsi="Gadugi" w:cs="Garamond"/>
          <w:color w:val="000000"/>
          <w:sz w:val="20"/>
          <w:lang w:eastAsia="en-US"/>
        </w:rPr>
        <w:t>The department committee is responsible for reviewing the dossier, completing the candidate’s position description</w:t>
      </w:r>
      <w:r w:rsidR="00E316D4">
        <w:rPr>
          <w:rFonts w:ascii="Gadugi" w:eastAsia="Garamond" w:hAnsi="Gadugi" w:cs="Garamond"/>
          <w:color w:val="000000"/>
          <w:sz w:val="20"/>
          <w:lang w:eastAsia="en-US"/>
        </w:rPr>
        <w:t>,</w:t>
      </w:r>
      <w:r w:rsidRPr="0023753E">
        <w:rPr>
          <w:rFonts w:ascii="Gadugi" w:eastAsia="Garamond" w:hAnsi="Gadugi" w:cs="Garamond"/>
          <w:color w:val="000000"/>
          <w:sz w:val="20"/>
          <w:lang w:eastAsia="en-US"/>
        </w:rPr>
        <w:t xml:space="preserve"> and </w:t>
      </w:r>
      <w:r w:rsidR="009841A1">
        <w:rPr>
          <w:rFonts w:ascii="Gadugi" w:eastAsia="Garamond" w:hAnsi="Gadugi" w:cs="Garamond"/>
          <w:color w:val="000000"/>
          <w:sz w:val="20"/>
          <w:lang w:eastAsia="en-US"/>
        </w:rPr>
        <w:t xml:space="preserve">completing </w:t>
      </w:r>
      <w:r w:rsidRPr="0023753E">
        <w:rPr>
          <w:rFonts w:ascii="Gadugi" w:eastAsia="Garamond" w:hAnsi="Gadugi" w:cs="Garamond"/>
          <w:color w:val="000000"/>
          <w:sz w:val="20"/>
          <w:lang w:eastAsia="en-US"/>
        </w:rPr>
        <w:t xml:space="preserve">the evaluation and recommendation by completing the document </w:t>
      </w:r>
      <w:r w:rsidRPr="0023753E">
        <w:rPr>
          <w:rFonts w:ascii="Gadugi" w:eastAsia="Garamond" w:hAnsi="Gadugi" w:cs="Garamond"/>
          <w:b/>
          <w:color w:val="000000"/>
          <w:sz w:val="20"/>
          <w:lang w:eastAsia="en-US"/>
        </w:rPr>
        <w:t>Initial Review Evaluation</w:t>
      </w:r>
      <w:r w:rsidRPr="0023753E">
        <w:rPr>
          <w:rFonts w:ascii="Gadugi" w:eastAsia="Garamond" w:hAnsi="Gadugi" w:cs="Garamond"/>
          <w:color w:val="000000"/>
          <w:sz w:val="20"/>
          <w:lang w:eastAsia="en-US"/>
        </w:rPr>
        <w:t>.</w:t>
      </w:r>
    </w:p>
    <w:p w14:paraId="07FE75FA" w14:textId="77777777" w:rsidR="0023753E" w:rsidRDefault="0023753E" w:rsidP="0023753E">
      <w:pPr>
        <w:spacing w:after="0" w:line="259" w:lineRule="auto"/>
        <w:ind w:right="0"/>
        <w:rPr>
          <w:rFonts w:ascii="Gadugi" w:eastAsia="Garamond" w:hAnsi="Gadugi" w:cs="Garamond"/>
          <w:color w:val="000000"/>
          <w:sz w:val="20"/>
          <w:lang w:eastAsia="en-US"/>
        </w:rPr>
      </w:pPr>
    </w:p>
    <w:p w14:paraId="0E589041" w14:textId="311B1112" w:rsidR="0023753E" w:rsidRDefault="0023753E" w:rsidP="0023753E">
      <w:pPr>
        <w:spacing w:after="0" w:line="259" w:lineRule="auto"/>
        <w:ind w:right="0"/>
        <w:rPr>
          <w:rFonts w:ascii="Gadugi" w:eastAsia="Garamond" w:hAnsi="Gadugi" w:cs="Garamond"/>
          <w:color w:val="000000"/>
          <w:sz w:val="20"/>
          <w:lang w:eastAsia="en-US"/>
        </w:rPr>
      </w:pPr>
      <w:r w:rsidRPr="0023753E">
        <w:rPr>
          <w:rFonts w:ascii="Gadugi" w:eastAsia="Garamond" w:hAnsi="Gadugi" w:cs="Garamond"/>
          <w:color w:val="000000"/>
          <w:sz w:val="20"/>
          <w:lang w:eastAsia="en-US"/>
        </w:rPr>
        <w:t xml:space="preserve">Initial review units in </w:t>
      </w:r>
      <w:r w:rsidRPr="0023753E">
        <w:rPr>
          <w:rFonts w:ascii="Gadugi" w:eastAsia="Garamond" w:hAnsi="Gadugi" w:cs="Garamond"/>
          <w:b/>
          <w:color w:val="000000"/>
          <w:sz w:val="20"/>
          <w:u w:val="single"/>
          <w:lang w:eastAsia="en-US"/>
        </w:rPr>
        <w:t>schools with departments, the College, or Office of Research</w:t>
      </w:r>
      <w:r w:rsidRPr="0023753E">
        <w:rPr>
          <w:rFonts w:ascii="Gadugi" w:eastAsia="Garamond" w:hAnsi="Gadugi" w:cs="Garamond"/>
          <w:color w:val="000000"/>
          <w:sz w:val="20"/>
          <w:lang w:eastAsia="en-US"/>
        </w:rPr>
        <w:t xml:space="preserve"> should forward all candidate documents electronically to the intermediate level review unit following the intermediate review unit’s specified procedures and submission deadline. Supplemental materials should be retained by the initial review unit until after the Provost Office review.</w:t>
      </w:r>
    </w:p>
    <w:p w14:paraId="766AB70D" w14:textId="77777777" w:rsidR="0023753E" w:rsidRPr="0023753E" w:rsidRDefault="0023753E" w:rsidP="0023753E">
      <w:pPr>
        <w:spacing w:after="0" w:line="259" w:lineRule="auto"/>
        <w:ind w:right="0"/>
        <w:rPr>
          <w:rFonts w:ascii="Gadugi" w:eastAsia="Garamond" w:hAnsi="Gadugi" w:cs="Garamond"/>
          <w:color w:val="000000"/>
          <w:sz w:val="20"/>
          <w:lang w:eastAsia="en-US"/>
        </w:rPr>
      </w:pPr>
    </w:p>
    <w:p w14:paraId="5A318ADE" w14:textId="2BC9FAC3" w:rsidR="00D00270" w:rsidRDefault="0023753E" w:rsidP="0023753E">
      <w:pPr>
        <w:spacing w:after="0" w:line="259" w:lineRule="auto"/>
        <w:ind w:right="0"/>
        <w:rPr>
          <w:rFonts w:ascii="Gadugi" w:eastAsia="Garamond" w:hAnsi="Gadugi" w:cs="Garamond"/>
          <w:color w:val="000000"/>
          <w:sz w:val="20"/>
          <w:lang w:eastAsia="en-US"/>
        </w:rPr>
      </w:pPr>
      <w:r w:rsidRPr="0023753E">
        <w:rPr>
          <w:rFonts w:ascii="Gadugi" w:eastAsia="Garamond" w:hAnsi="Gadugi" w:cs="Garamond"/>
          <w:b/>
          <w:color w:val="000000"/>
          <w:sz w:val="20"/>
          <w:u w:val="single"/>
          <w:lang w:eastAsia="en-US"/>
        </w:rPr>
        <w:t>Schools without departments and the Libraries</w:t>
      </w:r>
      <w:r w:rsidRPr="0023753E">
        <w:rPr>
          <w:rFonts w:ascii="Gadugi" w:eastAsia="Garamond" w:hAnsi="Gadugi" w:cs="Garamond"/>
          <w:color w:val="000000"/>
          <w:sz w:val="20"/>
          <w:lang w:eastAsia="en-US"/>
        </w:rPr>
        <w:t xml:space="preserve"> should retain all electronic documents and supporting materials</w:t>
      </w:r>
      <w:r w:rsidR="009841A1">
        <w:rPr>
          <w:rFonts w:ascii="Gadugi" w:eastAsia="Garamond" w:hAnsi="Gadugi" w:cs="Garamond"/>
          <w:color w:val="000000"/>
          <w:sz w:val="20"/>
          <w:lang w:eastAsia="en-US"/>
        </w:rPr>
        <w:t xml:space="preserve"> and submit only the Provost Office reporting spreadsheet,</w:t>
      </w:r>
      <w:r w:rsidRPr="0023753E">
        <w:rPr>
          <w:rFonts w:ascii="Gadugi" w:eastAsia="Garamond" w:hAnsi="Gadugi" w:cs="Garamond"/>
          <w:color w:val="000000"/>
          <w:sz w:val="20"/>
          <w:lang w:eastAsia="en-US"/>
        </w:rPr>
        <w:t xml:space="preserve"> with copies of the dean’s feedback letters to the candidates.</w:t>
      </w:r>
    </w:p>
    <w:p w14:paraId="7B7348CB" w14:textId="52534349" w:rsidR="00BD4B97" w:rsidRPr="00D00270" w:rsidRDefault="00BD4B97" w:rsidP="0023753E">
      <w:pPr>
        <w:spacing w:after="0" w:line="248" w:lineRule="auto"/>
        <w:ind w:left="0" w:right="0"/>
        <w:rPr>
          <w:rFonts w:ascii="Gadugi" w:eastAsia="Garamond" w:hAnsi="Gadugi" w:cs="Garamond"/>
          <w:color w:val="000000"/>
          <w:sz w:val="10"/>
          <w:lang w:eastAsia="en-US"/>
        </w:rPr>
      </w:pPr>
    </w:p>
    <w:p w14:paraId="10BC808C" w14:textId="77777777" w:rsidR="00BD4B97" w:rsidRPr="00F54E43" w:rsidRDefault="00BD4B97" w:rsidP="00BD4B97">
      <w:pPr>
        <w:spacing w:after="0" w:line="248" w:lineRule="auto"/>
        <w:ind w:left="0" w:right="0"/>
        <w:rPr>
          <w:sz w:val="14"/>
        </w:rPr>
      </w:pPr>
    </w:p>
    <w:p w14:paraId="2A9C2472" w14:textId="2C1FE44A" w:rsidR="00BD4B97" w:rsidRPr="0089247B" w:rsidRDefault="00BD4B97" w:rsidP="00BD4B97">
      <w:pPr>
        <w:pStyle w:val="Heading3"/>
        <w:spacing w:before="0" w:after="0"/>
        <w:rPr>
          <w:color w:val="auto"/>
        </w:rPr>
      </w:pPr>
      <w:r w:rsidRPr="0089247B">
        <w:rPr>
          <w:color w:val="auto"/>
        </w:rPr>
        <w:t>Intermediate Level Review</w:t>
      </w:r>
      <w:r w:rsidR="0023753E" w:rsidRPr="0089247B">
        <w:rPr>
          <w:color w:val="auto"/>
        </w:rPr>
        <w:t xml:space="preserve"> Evaluation Document</w:t>
      </w:r>
    </w:p>
    <w:p w14:paraId="432EFBFC" w14:textId="77777777" w:rsidR="00BD4B97" w:rsidRPr="00321D37" w:rsidRDefault="00BD4B97" w:rsidP="00BD4B97">
      <w:pPr>
        <w:spacing w:after="0"/>
        <w:jc w:val="center"/>
        <w:rPr>
          <w:sz w:val="10"/>
        </w:rPr>
      </w:pPr>
    </w:p>
    <w:p w14:paraId="20C1814A" w14:textId="21FF8329" w:rsidR="0023753E" w:rsidRPr="0023753E" w:rsidRDefault="0023753E" w:rsidP="0023753E">
      <w:pPr>
        <w:rPr>
          <w:rFonts w:ascii="Gadugi" w:eastAsia="Garamond" w:hAnsi="Gadugi"/>
          <w:b/>
          <w:sz w:val="20"/>
          <w:lang w:eastAsia="en-US"/>
        </w:rPr>
      </w:pPr>
      <w:r w:rsidRPr="0023753E">
        <w:rPr>
          <w:rFonts w:ascii="Gadugi" w:eastAsia="Garamond" w:hAnsi="Gadugi"/>
          <w:b/>
          <w:sz w:val="20"/>
          <w:lang w:eastAsia="en-US"/>
        </w:rPr>
        <w:t>Intermed</w:t>
      </w:r>
      <w:r>
        <w:rPr>
          <w:rFonts w:ascii="Gadugi" w:eastAsia="Garamond" w:hAnsi="Gadugi"/>
          <w:b/>
          <w:sz w:val="20"/>
          <w:lang w:eastAsia="en-US"/>
        </w:rPr>
        <w:t>iate Review Evaluation Document</w:t>
      </w:r>
      <w:r>
        <w:rPr>
          <w:rFonts w:ascii="Gadugi" w:eastAsia="Garamond" w:hAnsi="Gadugi"/>
          <w:b/>
          <w:sz w:val="20"/>
          <w:lang w:eastAsia="en-US"/>
        </w:rPr>
        <w:tab/>
      </w:r>
    </w:p>
    <w:p w14:paraId="645587AE" w14:textId="253ABFF9" w:rsidR="0023753E" w:rsidRDefault="0023753E" w:rsidP="00200C6D">
      <w:pPr>
        <w:rPr>
          <w:rFonts w:ascii="Gadugi" w:eastAsia="Garamond" w:hAnsi="Gadugi"/>
          <w:sz w:val="20"/>
          <w:lang w:eastAsia="en-US"/>
        </w:rPr>
      </w:pPr>
      <w:r w:rsidRPr="0023753E">
        <w:rPr>
          <w:rFonts w:ascii="Gadugi" w:eastAsia="Garamond" w:hAnsi="Gadugi"/>
          <w:sz w:val="20"/>
          <w:lang w:eastAsia="en-US"/>
        </w:rPr>
        <w:t>Intermediate Composite Evaluation and Recommendations – this document contains the intermediate review unit’s evaluation and recommendations on progress toward tenure.</w:t>
      </w:r>
    </w:p>
    <w:p w14:paraId="7C85D2D4" w14:textId="5B6AE34D" w:rsidR="00BD4B97" w:rsidRPr="0023753E" w:rsidRDefault="00BD4B97" w:rsidP="0023753E">
      <w:pPr>
        <w:rPr>
          <w:rFonts w:ascii="Gadugi" w:eastAsia="Garamond" w:hAnsi="Gadugi"/>
          <w:sz w:val="20"/>
          <w:lang w:eastAsia="en-US"/>
        </w:rPr>
      </w:pPr>
      <w:r w:rsidRPr="0023753E">
        <w:rPr>
          <w:rFonts w:ascii="Gadugi" w:eastAsia="Garamond" w:hAnsi="Gadugi"/>
          <w:b/>
          <w:sz w:val="20"/>
          <w:lang w:eastAsia="en-US"/>
        </w:rPr>
        <w:t>Intermediate Review Committee Responsibility</w:t>
      </w:r>
      <w:r w:rsidR="0023753E">
        <w:rPr>
          <w:rFonts w:ascii="Gadugi" w:eastAsia="Garamond" w:hAnsi="Gadugi"/>
          <w:b/>
          <w:sz w:val="20"/>
          <w:lang w:eastAsia="en-US"/>
        </w:rPr>
        <w:t xml:space="preserve"> </w:t>
      </w:r>
      <w:r w:rsidR="0023753E" w:rsidRPr="0023753E">
        <w:rPr>
          <w:rFonts w:ascii="Gadugi" w:eastAsia="Garamond" w:hAnsi="Gadugi"/>
          <w:sz w:val="20"/>
          <w:lang w:eastAsia="en-US"/>
        </w:rPr>
        <w:t xml:space="preserve">(for Schools with Departments, College of Liberal Arts &amp; Sciences, Office of Research):  </w:t>
      </w:r>
      <w:r w:rsidRPr="0023753E">
        <w:rPr>
          <w:rFonts w:ascii="Gadugi" w:eastAsia="Garamond" w:hAnsi="Gadugi"/>
          <w:sz w:val="20"/>
          <w:lang w:eastAsia="en-US"/>
        </w:rPr>
        <w:t xml:space="preserve">  </w:t>
      </w:r>
    </w:p>
    <w:p w14:paraId="5D46D954" w14:textId="1922FC4B" w:rsidR="0023753E" w:rsidRDefault="0023753E" w:rsidP="0023753E">
      <w:pPr>
        <w:spacing w:after="0" w:line="259" w:lineRule="auto"/>
        <w:ind w:right="0"/>
        <w:rPr>
          <w:rFonts w:ascii="Gadugi" w:eastAsia="Garamond" w:hAnsi="Gadugi"/>
          <w:b/>
          <w:sz w:val="20"/>
          <w:lang w:eastAsia="en-US"/>
        </w:rPr>
      </w:pPr>
      <w:r w:rsidRPr="0023753E">
        <w:rPr>
          <w:rFonts w:ascii="Gadugi" w:eastAsia="Garamond" w:hAnsi="Gadugi"/>
          <w:sz w:val="20"/>
          <w:lang w:eastAsia="en-US"/>
        </w:rPr>
        <w:t>The School/College committee is responsible for reviewing the dossier</w:t>
      </w:r>
      <w:r w:rsidR="009841A1">
        <w:rPr>
          <w:rFonts w:ascii="Gadugi" w:eastAsia="Garamond" w:hAnsi="Gadugi"/>
          <w:sz w:val="20"/>
          <w:lang w:eastAsia="en-US"/>
        </w:rPr>
        <w:t xml:space="preserve">, the department assessment, and the </w:t>
      </w:r>
      <w:r>
        <w:rPr>
          <w:rFonts w:ascii="Gadugi" w:eastAsia="Garamond" w:hAnsi="Gadugi"/>
          <w:sz w:val="20"/>
          <w:lang w:eastAsia="en-US"/>
        </w:rPr>
        <w:t xml:space="preserve">recommendations. </w:t>
      </w:r>
      <w:r w:rsidRPr="0023753E">
        <w:rPr>
          <w:rFonts w:ascii="Gadugi" w:eastAsia="Garamond" w:hAnsi="Gadugi"/>
          <w:sz w:val="20"/>
          <w:lang w:eastAsia="en-US"/>
        </w:rPr>
        <w:t xml:space="preserve">The School/College committee is also responsible for preparing the final copy of the summary </w:t>
      </w:r>
      <w:r w:rsidRPr="0023753E">
        <w:rPr>
          <w:rFonts w:ascii="Gadugi" w:eastAsia="Garamond" w:hAnsi="Gadugi"/>
          <w:sz w:val="20"/>
          <w:lang w:eastAsia="en-US"/>
        </w:rPr>
        <w:lastRenderedPageBreak/>
        <w:t xml:space="preserve">assessment and recommendations. This document is called the </w:t>
      </w:r>
      <w:r w:rsidRPr="0023753E">
        <w:rPr>
          <w:rFonts w:ascii="Gadugi" w:eastAsia="Garamond" w:hAnsi="Gadugi"/>
          <w:b/>
          <w:sz w:val="20"/>
          <w:lang w:eastAsia="en-US"/>
        </w:rPr>
        <w:t>Intermediate Composite Evaluation and Recommendation.</w:t>
      </w:r>
    </w:p>
    <w:p w14:paraId="20EF850A" w14:textId="77777777" w:rsidR="0023753E" w:rsidRPr="0023753E" w:rsidRDefault="0023753E" w:rsidP="0023753E">
      <w:pPr>
        <w:spacing w:after="0" w:line="259" w:lineRule="auto"/>
        <w:ind w:right="0"/>
        <w:rPr>
          <w:rFonts w:ascii="Gadugi" w:eastAsia="Garamond" w:hAnsi="Gadugi"/>
          <w:b/>
          <w:sz w:val="20"/>
          <w:lang w:eastAsia="en-US"/>
        </w:rPr>
      </w:pPr>
    </w:p>
    <w:p w14:paraId="625BE449" w14:textId="77777777" w:rsidR="0023753E" w:rsidRPr="0023753E" w:rsidRDefault="0023753E" w:rsidP="0023753E">
      <w:pPr>
        <w:spacing w:after="0" w:line="259" w:lineRule="auto"/>
        <w:ind w:right="0"/>
        <w:rPr>
          <w:rFonts w:ascii="Gadugi" w:eastAsia="Garamond" w:hAnsi="Gadugi"/>
          <w:sz w:val="20"/>
          <w:lang w:eastAsia="en-US"/>
        </w:rPr>
      </w:pPr>
      <w:r w:rsidRPr="0023753E">
        <w:rPr>
          <w:rFonts w:ascii="Gadugi" w:eastAsia="Garamond" w:hAnsi="Gadugi"/>
          <w:sz w:val="20"/>
          <w:lang w:eastAsia="en-US"/>
        </w:rPr>
        <w:t>The recommendations should address elements of the faculty member’s performance and may include department plans to assist the faculty member in addressing aspects of that performance (e.g., reducing department service obligations, mentoring in a specific research area, more balanced instructional responsibilities, etc.). The complete dossier and Composite Evaluation and Recommendation document should be forwarded to the dean for review.</w:t>
      </w:r>
    </w:p>
    <w:p w14:paraId="7A51AB8B" w14:textId="77777777" w:rsidR="0023753E" w:rsidRPr="0023753E" w:rsidRDefault="0023753E" w:rsidP="0023753E">
      <w:pPr>
        <w:spacing w:after="0" w:line="259" w:lineRule="auto"/>
        <w:ind w:right="0"/>
        <w:rPr>
          <w:rFonts w:ascii="Gadugi" w:eastAsia="Garamond" w:hAnsi="Gadugi"/>
          <w:sz w:val="20"/>
          <w:lang w:eastAsia="en-US"/>
        </w:rPr>
      </w:pPr>
    </w:p>
    <w:p w14:paraId="2A2EEA56" w14:textId="21B3548E" w:rsidR="0023753E" w:rsidRPr="0023753E" w:rsidRDefault="0023753E" w:rsidP="0023753E">
      <w:pPr>
        <w:spacing w:after="0" w:line="259" w:lineRule="auto"/>
        <w:ind w:right="0"/>
        <w:rPr>
          <w:rFonts w:ascii="Gadugi" w:eastAsia="Garamond" w:hAnsi="Gadugi"/>
          <w:sz w:val="20"/>
          <w:lang w:eastAsia="en-US"/>
        </w:rPr>
      </w:pPr>
      <w:r w:rsidRPr="0023753E">
        <w:rPr>
          <w:rFonts w:ascii="Gadugi" w:eastAsia="Garamond" w:hAnsi="Gadugi"/>
          <w:sz w:val="20"/>
          <w:lang w:eastAsia="en-US"/>
        </w:rPr>
        <w:t xml:space="preserve">Intermediate level units should retain this document and all electronic documents and supporting materials from the initial review </w:t>
      </w:r>
      <w:r w:rsidR="00B251AD" w:rsidRPr="0023753E">
        <w:rPr>
          <w:rFonts w:ascii="Gadugi" w:eastAsia="Garamond" w:hAnsi="Gadugi"/>
          <w:sz w:val="20"/>
          <w:lang w:eastAsia="en-US"/>
        </w:rPr>
        <w:t>unit and</w:t>
      </w:r>
      <w:r w:rsidRPr="0023753E">
        <w:rPr>
          <w:rFonts w:ascii="Gadugi" w:eastAsia="Garamond" w:hAnsi="Gadugi"/>
          <w:sz w:val="20"/>
          <w:lang w:eastAsia="en-US"/>
        </w:rPr>
        <w:t xml:space="preserve"> submit the Provost Office Report spreadsheet with copies of the dean’s feedback letters to the candidates.</w:t>
      </w:r>
    </w:p>
    <w:p w14:paraId="06B6565D" w14:textId="045AFBD7" w:rsidR="0023753E" w:rsidRPr="00D00270" w:rsidRDefault="0023753E" w:rsidP="0023753E">
      <w:pPr>
        <w:spacing w:after="0" w:line="248" w:lineRule="auto"/>
        <w:ind w:left="0" w:right="0"/>
        <w:rPr>
          <w:rFonts w:ascii="Gadugi" w:eastAsia="Garamond" w:hAnsi="Gadugi" w:cs="Garamond"/>
          <w:color w:val="000000"/>
          <w:sz w:val="10"/>
          <w:lang w:eastAsia="en-US"/>
        </w:rPr>
      </w:pPr>
    </w:p>
    <w:p w14:paraId="1C1BE17D" w14:textId="77777777" w:rsidR="0023753E" w:rsidRPr="00F54E43" w:rsidRDefault="0023753E" w:rsidP="0023753E">
      <w:pPr>
        <w:spacing w:after="0" w:line="248" w:lineRule="auto"/>
        <w:ind w:left="0" w:right="0"/>
        <w:rPr>
          <w:sz w:val="14"/>
        </w:rPr>
      </w:pPr>
    </w:p>
    <w:p w14:paraId="74A6389F" w14:textId="515DB22B" w:rsidR="0023753E" w:rsidRPr="0089247B" w:rsidRDefault="0023753E" w:rsidP="0023753E">
      <w:pPr>
        <w:pStyle w:val="Heading3"/>
        <w:spacing w:before="0" w:after="0"/>
        <w:rPr>
          <w:color w:val="auto"/>
        </w:rPr>
      </w:pPr>
      <w:r w:rsidRPr="0089247B">
        <w:rPr>
          <w:color w:val="auto"/>
        </w:rPr>
        <w:t>Dean’s Feedback Letter to Faculty Member</w:t>
      </w:r>
    </w:p>
    <w:p w14:paraId="4C28F7AD" w14:textId="77777777" w:rsidR="0023753E" w:rsidRPr="0023753E" w:rsidRDefault="0023753E" w:rsidP="0023753E">
      <w:pPr>
        <w:spacing w:after="0" w:line="259" w:lineRule="auto"/>
        <w:ind w:right="0"/>
        <w:rPr>
          <w:rFonts w:ascii="Gadugi" w:eastAsia="Garamond" w:hAnsi="Gadugi"/>
          <w:sz w:val="20"/>
          <w:lang w:eastAsia="en-US"/>
        </w:rPr>
      </w:pPr>
    </w:p>
    <w:p w14:paraId="7BAC6C66" w14:textId="34ACA883" w:rsidR="0023753E" w:rsidRDefault="0023753E" w:rsidP="0023753E">
      <w:pPr>
        <w:spacing w:after="0" w:line="259" w:lineRule="auto"/>
        <w:ind w:right="0"/>
        <w:rPr>
          <w:rFonts w:ascii="Gadugi" w:eastAsia="Garamond" w:hAnsi="Gadugi"/>
          <w:sz w:val="20"/>
          <w:lang w:eastAsia="en-US"/>
        </w:rPr>
      </w:pPr>
      <w:r w:rsidRPr="0023753E">
        <w:rPr>
          <w:rFonts w:ascii="Gadugi" w:eastAsia="Garamond" w:hAnsi="Gadugi"/>
          <w:sz w:val="20"/>
          <w:lang w:eastAsia="en-US"/>
        </w:rPr>
        <w:t xml:space="preserve">At the conclusion of the review process, faculty members will receive a letter from the dean </w:t>
      </w:r>
      <w:r w:rsidR="009841A1">
        <w:rPr>
          <w:rFonts w:ascii="Gadugi" w:eastAsia="Garamond" w:hAnsi="Gadugi"/>
          <w:sz w:val="20"/>
          <w:lang w:eastAsia="en-US"/>
        </w:rPr>
        <w:t>that assesses</w:t>
      </w:r>
      <w:r w:rsidRPr="0023753E">
        <w:rPr>
          <w:rFonts w:ascii="Gadugi" w:eastAsia="Garamond" w:hAnsi="Gadugi"/>
          <w:sz w:val="20"/>
          <w:lang w:eastAsia="en-US"/>
        </w:rPr>
        <w:t xml:space="preserve"> their progress toward tenure. The letter will provide an assessment of cumulative performance to date </w:t>
      </w:r>
      <w:r w:rsidR="009841A1">
        <w:rPr>
          <w:rFonts w:ascii="Gadugi" w:eastAsia="Garamond" w:hAnsi="Gadugi"/>
          <w:sz w:val="20"/>
          <w:lang w:eastAsia="en-US"/>
        </w:rPr>
        <w:t>and explain the basis for the dean’s decision regarding</w:t>
      </w:r>
      <w:r w:rsidRPr="0023753E">
        <w:rPr>
          <w:rFonts w:ascii="Gadugi" w:eastAsia="Garamond" w:hAnsi="Gadugi"/>
          <w:sz w:val="20"/>
          <w:lang w:eastAsia="en-US"/>
        </w:rPr>
        <w:t xml:space="preserve"> the review outcome </w:t>
      </w:r>
      <w:bookmarkStart w:id="0" w:name="_Hlk147765538"/>
      <w:r w:rsidRPr="0023753E">
        <w:rPr>
          <w:rFonts w:ascii="Gadugi" w:eastAsia="Garamond" w:hAnsi="Gadugi"/>
          <w:sz w:val="20"/>
          <w:lang w:eastAsia="en-US"/>
        </w:rPr>
        <w:t>(satisfactory progress, subsequent review in year four, non-reappointment)</w:t>
      </w:r>
      <w:bookmarkEnd w:id="0"/>
      <w:r w:rsidRPr="0023753E">
        <w:rPr>
          <w:rFonts w:ascii="Gadugi" w:eastAsia="Garamond" w:hAnsi="Gadugi"/>
          <w:sz w:val="20"/>
          <w:lang w:eastAsia="en-US"/>
        </w:rPr>
        <w:t xml:space="preserve">. For faculty members who are making satisfactory progress toward tenure or who will be subject to a second PTTR review </w:t>
      </w:r>
      <w:r w:rsidR="009841A1">
        <w:rPr>
          <w:rFonts w:ascii="Gadugi" w:eastAsia="Garamond" w:hAnsi="Gadugi"/>
          <w:sz w:val="20"/>
          <w:lang w:eastAsia="en-US"/>
        </w:rPr>
        <w:t>the following year, recommendations for future performance will also be included</w:t>
      </w:r>
      <w:r w:rsidRPr="0023753E">
        <w:rPr>
          <w:rFonts w:ascii="Gadugi" w:eastAsia="Garamond" w:hAnsi="Gadugi"/>
          <w:sz w:val="20"/>
          <w:lang w:eastAsia="en-US"/>
        </w:rPr>
        <w:t xml:space="preserve"> in the letter.</w:t>
      </w:r>
    </w:p>
    <w:p w14:paraId="1507B690" w14:textId="77777777" w:rsidR="003D7DD2" w:rsidRPr="0023753E" w:rsidRDefault="003D7DD2" w:rsidP="0023753E">
      <w:pPr>
        <w:spacing w:after="0" w:line="259" w:lineRule="auto"/>
        <w:ind w:right="0"/>
        <w:rPr>
          <w:rFonts w:ascii="Gadugi" w:eastAsia="Garamond" w:hAnsi="Gadugi"/>
          <w:sz w:val="20"/>
          <w:lang w:eastAsia="en-US"/>
        </w:rPr>
      </w:pPr>
    </w:p>
    <w:p w14:paraId="1FFE1360" w14:textId="77777777" w:rsidR="003D7DD2" w:rsidRPr="00F54E43" w:rsidRDefault="003D7DD2" w:rsidP="003D7DD2">
      <w:pPr>
        <w:spacing w:after="0" w:line="248" w:lineRule="auto"/>
        <w:ind w:left="0" w:right="0"/>
        <w:rPr>
          <w:sz w:val="14"/>
        </w:rPr>
      </w:pPr>
    </w:p>
    <w:p w14:paraId="713A0093" w14:textId="5CA54B25" w:rsidR="003D7DD2" w:rsidRPr="0089247B" w:rsidRDefault="003D7DD2" w:rsidP="003D7DD2">
      <w:pPr>
        <w:pStyle w:val="Heading3"/>
        <w:spacing w:before="0" w:after="0"/>
        <w:rPr>
          <w:color w:val="auto"/>
        </w:rPr>
      </w:pPr>
      <w:r w:rsidRPr="0089247B">
        <w:rPr>
          <w:color w:val="auto"/>
        </w:rPr>
        <w:t>Feedback Conference</w:t>
      </w:r>
    </w:p>
    <w:p w14:paraId="372F06B7" w14:textId="77777777" w:rsidR="00BD4B97" w:rsidRPr="00BD4B97" w:rsidRDefault="00BD4B97" w:rsidP="00BD4B97">
      <w:pPr>
        <w:spacing w:after="53" w:line="259" w:lineRule="auto"/>
        <w:ind w:left="811" w:right="0"/>
        <w:rPr>
          <w:rFonts w:ascii="Gadugi" w:eastAsia="Garamond" w:hAnsi="Gadugi" w:cs="Garamond"/>
          <w:color w:val="000000"/>
          <w:sz w:val="20"/>
          <w:lang w:eastAsia="en-US"/>
        </w:rPr>
      </w:pPr>
      <w:r w:rsidRPr="00BD4B97">
        <w:rPr>
          <w:rFonts w:ascii="Gadugi" w:eastAsia="Garamond" w:hAnsi="Gadugi" w:cs="Garamond"/>
          <w:b/>
          <w:color w:val="000000"/>
          <w:sz w:val="12"/>
          <w:lang w:eastAsia="en-US"/>
        </w:rPr>
        <w:t xml:space="preserve"> </w:t>
      </w:r>
    </w:p>
    <w:p w14:paraId="49B839AA" w14:textId="6855D3D0" w:rsidR="003D7DD2" w:rsidRPr="003D7DD2" w:rsidRDefault="003D7DD2" w:rsidP="003D7DD2">
      <w:pPr>
        <w:spacing w:after="0" w:line="259" w:lineRule="auto"/>
        <w:ind w:left="0" w:right="0"/>
        <w:rPr>
          <w:rFonts w:ascii="Gadugi" w:eastAsia="Garamond" w:hAnsi="Gadugi"/>
          <w:sz w:val="20"/>
          <w:lang w:eastAsia="en-US"/>
        </w:rPr>
      </w:pPr>
      <w:r w:rsidRPr="003D7DD2">
        <w:rPr>
          <w:rFonts w:ascii="Gadugi" w:eastAsia="Garamond" w:hAnsi="Gadugi"/>
          <w:sz w:val="20"/>
          <w:lang w:eastAsia="en-US"/>
        </w:rPr>
        <w:t xml:space="preserve">The department chair (in schools with departments and the College) should schedule a formal feedback conference with the faculty member within two weeks of receiving the </w:t>
      </w:r>
      <w:r w:rsidR="009841A1">
        <w:rPr>
          <w:rFonts w:ascii="Gadugi" w:eastAsia="Garamond" w:hAnsi="Gadugi"/>
          <w:sz w:val="20"/>
          <w:lang w:eastAsia="en-US"/>
        </w:rPr>
        <w:t>dean's summary feedback letter</w:t>
      </w:r>
      <w:r w:rsidRPr="003D7DD2">
        <w:rPr>
          <w:rFonts w:ascii="Gadugi" w:eastAsia="Garamond" w:hAnsi="Gadugi"/>
          <w:sz w:val="20"/>
          <w:lang w:eastAsia="en-US"/>
        </w:rPr>
        <w:t xml:space="preserve">. For schools without departments and the </w:t>
      </w:r>
      <w:r w:rsidR="009841A1">
        <w:rPr>
          <w:rFonts w:ascii="Gadugi" w:eastAsia="Garamond" w:hAnsi="Gadugi"/>
          <w:sz w:val="20"/>
          <w:lang w:eastAsia="en-US"/>
        </w:rPr>
        <w:t>L</w:t>
      </w:r>
      <w:r w:rsidRPr="003D7DD2">
        <w:rPr>
          <w:rFonts w:ascii="Gadugi" w:eastAsia="Garamond" w:hAnsi="Gadugi"/>
          <w:sz w:val="20"/>
          <w:lang w:eastAsia="en-US"/>
        </w:rPr>
        <w:t xml:space="preserve">ibraries, the dean should meet with the faculty member within two weeks of </w:t>
      </w:r>
      <w:r w:rsidR="009841A1">
        <w:rPr>
          <w:rFonts w:ascii="Gadugi" w:eastAsia="Garamond" w:hAnsi="Gadugi"/>
          <w:sz w:val="20"/>
          <w:lang w:eastAsia="en-US"/>
        </w:rPr>
        <w:t>their</w:t>
      </w:r>
      <w:r w:rsidRPr="003D7DD2">
        <w:rPr>
          <w:rFonts w:ascii="Gadugi" w:eastAsia="Garamond" w:hAnsi="Gadugi"/>
          <w:sz w:val="20"/>
          <w:lang w:eastAsia="en-US"/>
        </w:rPr>
        <w:t xml:space="preserve"> review of the PTTR materials. </w:t>
      </w:r>
      <w:r w:rsidRPr="003D7DD2">
        <w:rPr>
          <w:rFonts w:ascii="Gadugi" w:eastAsia="Garamond" w:hAnsi="Gadugi"/>
          <w:b/>
          <w:sz w:val="20"/>
          <w:lang w:eastAsia="en-US"/>
        </w:rPr>
        <w:t xml:space="preserve">All meetings with faculty members recommended for non-reappointment must be completed by March </w:t>
      </w:r>
      <w:r w:rsidR="009841A1">
        <w:rPr>
          <w:rFonts w:ascii="Gadugi" w:eastAsia="Garamond" w:hAnsi="Gadugi"/>
          <w:b/>
          <w:sz w:val="20"/>
          <w:lang w:eastAsia="en-US"/>
        </w:rPr>
        <w:t>5</w:t>
      </w:r>
      <w:r w:rsidR="0012311A">
        <w:rPr>
          <w:rFonts w:ascii="Gadugi" w:eastAsia="Garamond" w:hAnsi="Gadugi"/>
          <w:b/>
          <w:sz w:val="20"/>
          <w:lang w:eastAsia="en-US"/>
        </w:rPr>
        <w:t>, 20</w:t>
      </w:r>
      <w:r w:rsidR="00D30D1E">
        <w:rPr>
          <w:rFonts w:ascii="Gadugi" w:eastAsia="Garamond" w:hAnsi="Gadugi"/>
          <w:b/>
          <w:sz w:val="20"/>
          <w:lang w:eastAsia="en-US"/>
        </w:rPr>
        <w:t>2</w:t>
      </w:r>
      <w:r w:rsidR="009841A1">
        <w:rPr>
          <w:rFonts w:ascii="Gadugi" w:eastAsia="Garamond" w:hAnsi="Gadugi"/>
          <w:b/>
          <w:sz w:val="20"/>
          <w:lang w:eastAsia="en-US"/>
        </w:rPr>
        <w:t>7</w:t>
      </w:r>
      <w:r w:rsidRPr="003D7DD2">
        <w:rPr>
          <w:rFonts w:ascii="Gadugi" w:eastAsia="Garamond" w:hAnsi="Gadugi"/>
          <w:b/>
          <w:sz w:val="20"/>
          <w:lang w:eastAsia="en-US"/>
        </w:rPr>
        <w:t>.</w:t>
      </w:r>
    </w:p>
    <w:p w14:paraId="1880F4E9" w14:textId="05143706" w:rsidR="003D7DD2" w:rsidRPr="003D7DD2" w:rsidRDefault="003D7DD2" w:rsidP="003D7DD2">
      <w:pPr>
        <w:spacing w:after="0" w:line="259" w:lineRule="auto"/>
        <w:ind w:left="0" w:right="0"/>
        <w:rPr>
          <w:rFonts w:ascii="Gadugi" w:eastAsia="Garamond" w:hAnsi="Gadugi" w:cs="Garamond"/>
          <w:color w:val="000000"/>
          <w:sz w:val="28"/>
          <w:lang w:eastAsia="en-US"/>
        </w:rPr>
      </w:pPr>
    </w:p>
    <w:p w14:paraId="26404AD1" w14:textId="6A34B9B1" w:rsidR="003D7DD2" w:rsidRPr="0089247B" w:rsidRDefault="003D7DD2" w:rsidP="003D7DD2">
      <w:pPr>
        <w:pStyle w:val="Heading3"/>
        <w:spacing w:before="0" w:after="0"/>
        <w:rPr>
          <w:color w:val="auto"/>
        </w:rPr>
      </w:pPr>
      <w:r w:rsidRPr="0089247B">
        <w:rPr>
          <w:color w:val="auto"/>
        </w:rPr>
        <w:t>Report to Provost’s Office on the Outcome of Progress Toward Tenure Reviews</w:t>
      </w:r>
    </w:p>
    <w:p w14:paraId="7B5680E4" w14:textId="103864AC" w:rsidR="003D7DD2" w:rsidRPr="00BD4B97" w:rsidRDefault="003D7DD2" w:rsidP="00BD4B97">
      <w:pPr>
        <w:spacing w:after="0" w:line="259" w:lineRule="auto"/>
        <w:ind w:left="451" w:right="0"/>
        <w:rPr>
          <w:rFonts w:ascii="Gadugi" w:eastAsia="Garamond" w:hAnsi="Gadugi" w:cs="Garamond"/>
          <w:color w:val="000000"/>
          <w:sz w:val="20"/>
          <w:lang w:eastAsia="en-US"/>
        </w:rPr>
      </w:pPr>
    </w:p>
    <w:p w14:paraId="5F8E421E" w14:textId="0DB4D18A" w:rsidR="00BD4B97" w:rsidRDefault="003D7DD2" w:rsidP="00BD4B97">
      <w:pPr>
        <w:spacing w:after="0" w:line="259" w:lineRule="auto"/>
        <w:ind w:left="91" w:right="0"/>
        <w:rPr>
          <w:rFonts w:ascii="Gadugi" w:eastAsia="Garamond" w:hAnsi="Gadugi" w:cs="Garamond"/>
          <w:color w:val="000000"/>
          <w:sz w:val="20"/>
          <w:lang w:eastAsia="en-US"/>
        </w:rPr>
      </w:pPr>
      <w:bookmarkStart w:id="1" w:name="_Hlk147766620"/>
      <w:r w:rsidRPr="003D7DD2">
        <w:rPr>
          <w:rFonts w:ascii="Gadugi" w:eastAsia="Garamond" w:hAnsi="Gadugi" w:cs="Garamond"/>
          <w:color w:val="000000"/>
          <w:sz w:val="20"/>
          <w:lang w:eastAsia="en-US"/>
        </w:rPr>
        <w:t>The Provost Office Report spreadsheet is sent to the dean’s offices in June of each year and contains the names of faculty due for PTTR review du</w:t>
      </w:r>
      <w:r>
        <w:rPr>
          <w:rFonts w:ascii="Gadugi" w:eastAsia="Garamond" w:hAnsi="Gadugi" w:cs="Garamond"/>
          <w:color w:val="000000"/>
          <w:sz w:val="20"/>
          <w:lang w:eastAsia="en-US"/>
        </w:rPr>
        <w:t xml:space="preserve">ring the coming academic year. </w:t>
      </w:r>
      <w:bookmarkEnd w:id="1"/>
      <w:r w:rsidRPr="003D7DD2">
        <w:rPr>
          <w:rFonts w:ascii="Gadugi" w:eastAsia="Garamond" w:hAnsi="Gadugi" w:cs="Garamond"/>
          <w:color w:val="000000"/>
          <w:sz w:val="20"/>
          <w:lang w:eastAsia="en-US"/>
        </w:rPr>
        <w:t xml:space="preserve">A blank copy of the Reporting Chart can be downloaded from the PTTR web page. Deans should mark the recommendation resulting from the review for each faculty member, as </w:t>
      </w:r>
      <w:r w:rsidR="00F2478E" w:rsidRPr="003D7DD2">
        <w:rPr>
          <w:rFonts w:ascii="Gadugi" w:eastAsia="Garamond" w:hAnsi="Gadugi" w:cs="Garamond"/>
          <w:color w:val="000000"/>
          <w:sz w:val="20"/>
          <w:lang w:eastAsia="en-US"/>
        </w:rPr>
        <w:t>well as</w:t>
      </w:r>
      <w:r w:rsidRPr="003D7DD2">
        <w:rPr>
          <w:rFonts w:ascii="Gadugi" w:eastAsia="Garamond" w:hAnsi="Gadugi" w:cs="Garamond"/>
          <w:color w:val="000000"/>
          <w:sz w:val="20"/>
          <w:lang w:eastAsia="en-US"/>
        </w:rPr>
        <w:t xml:space="preserve"> the date sched</w:t>
      </w:r>
      <w:r>
        <w:rPr>
          <w:rFonts w:ascii="Gadugi" w:eastAsia="Garamond" w:hAnsi="Gadugi" w:cs="Garamond"/>
          <w:color w:val="000000"/>
          <w:sz w:val="20"/>
          <w:lang w:eastAsia="en-US"/>
        </w:rPr>
        <w:t xml:space="preserve">uled for the feedback meeting. </w:t>
      </w:r>
      <w:r w:rsidRPr="003D7DD2">
        <w:rPr>
          <w:rFonts w:ascii="Gadugi" w:eastAsia="Garamond" w:hAnsi="Gadugi" w:cs="Garamond"/>
          <w:b/>
          <w:color w:val="000000"/>
          <w:sz w:val="20"/>
          <w:lang w:eastAsia="en-US"/>
        </w:rPr>
        <w:t xml:space="preserve">Charts are due in the Provost’s Office </w:t>
      </w:r>
      <w:r w:rsidR="009F5924">
        <w:rPr>
          <w:rFonts w:ascii="Gadugi" w:eastAsia="Garamond" w:hAnsi="Gadugi" w:cs="Garamond"/>
          <w:b/>
          <w:color w:val="000000"/>
          <w:sz w:val="20"/>
          <w:lang w:eastAsia="en-US"/>
        </w:rPr>
        <w:t xml:space="preserve">of Faculty Affairs </w:t>
      </w:r>
      <w:r w:rsidRPr="003D7DD2">
        <w:rPr>
          <w:rFonts w:ascii="Gadugi" w:eastAsia="Garamond" w:hAnsi="Gadugi" w:cs="Garamond"/>
          <w:b/>
          <w:color w:val="000000"/>
          <w:sz w:val="20"/>
          <w:lang w:eastAsia="en-US"/>
        </w:rPr>
        <w:t>b</w:t>
      </w:r>
      <w:r w:rsidR="0012311A">
        <w:rPr>
          <w:rFonts w:ascii="Gadugi" w:eastAsia="Garamond" w:hAnsi="Gadugi" w:cs="Garamond"/>
          <w:b/>
          <w:color w:val="000000"/>
          <w:sz w:val="20"/>
          <w:lang w:eastAsia="en-US"/>
        </w:rPr>
        <w:t xml:space="preserve">y March </w:t>
      </w:r>
      <w:r w:rsidR="00F2478E">
        <w:rPr>
          <w:rFonts w:ascii="Gadugi" w:eastAsia="Garamond" w:hAnsi="Gadugi" w:cs="Garamond"/>
          <w:b/>
          <w:color w:val="000000"/>
          <w:sz w:val="20"/>
          <w:lang w:eastAsia="en-US"/>
        </w:rPr>
        <w:t>5</w:t>
      </w:r>
      <w:r w:rsidR="0012311A">
        <w:rPr>
          <w:rFonts w:ascii="Gadugi" w:eastAsia="Garamond" w:hAnsi="Gadugi" w:cs="Garamond"/>
          <w:b/>
          <w:color w:val="000000"/>
          <w:sz w:val="20"/>
          <w:lang w:eastAsia="en-US"/>
        </w:rPr>
        <w:t>, 20</w:t>
      </w:r>
      <w:r w:rsidR="00D30D1E">
        <w:rPr>
          <w:rFonts w:ascii="Gadugi" w:eastAsia="Garamond" w:hAnsi="Gadugi" w:cs="Garamond"/>
          <w:b/>
          <w:color w:val="000000"/>
          <w:sz w:val="20"/>
          <w:lang w:eastAsia="en-US"/>
        </w:rPr>
        <w:t>2</w:t>
      </w:r>
      <w:r w:rsidR="00F2478E">
        <w:rPr>
          <w:rFonts w:ascii="Gadugi" w:eastAsia="Garamond" w:hAnsi="Gadugi" w:cs="Garamond"/>
          <w:b/>
          <w:color w:val="000000"/>
          <w:sz w:val="20"/>
          <w:lang w:eastAsia="en-US"/>
        </w:rPr>
        <w:t>7</w:t>
      </w:r>
      <w:r w:rsidRPr="003D7DD2">
        <w:rPr>
          <w:rFonts w:ascii="Gadugi" w:eastAsia="Garamond" w:hAnsi="Gadugi" w:cs="Garamond"/>
          <w:b/>
          <w:color w:val="000000"/>
          <w:sz w:val="20"/>
          <w:lang w:eastAsia="en-US"/>
        </w:rPr>
        <w:t>, 5:00 p.m.</w:t>
      </w:r>
      <w:r w:rsidR="00F2478E" w:rsidRPr="00F2478E">
        <w:rPr>
          <w:rFonts w:ascii="Gadugi" w:eastAsia="Garamond" w:hAnsi="Gadugi" w:cs="Garamond"/>
          <w:bCs/>
          <w:color w:val="000000"/>
          <w:sz w:val="20"/>
          <w:lang w:eastAsia="en-US"/>
        </w:rPr>
        <w:t>,</w:t>
      </w:r>
      <w:r w:rsidRPr="003D7DD2">
        <w:rPr>
          <w:rFonts w:ascii="Gadugi" w:eastAsia="Garamond" w:hAnsi="Gadugi" w:cs="Garamond"/>
          <w:b/>
          <w:color w:val="000000"/>
          <w:sz w:val="20"/>
          <w:lang w:eastAsia="en-US"/>
        </w:rPr>
        <w:t xml:space="preserve"> </w:t>
      </w:r>
      <w:r w:rsidRPr="003D7DD2">
        <w:rPr>
          <w:rFonts w:ascii="Gadugi" w:eastAsia="Garamond" w:hAnsi="Gadugi" w:cs="Garamond"/>
          <w:color w:val="000000"/>
          <w:sz w:val="20"/>
          <w:lang w:eastAsia="en-US"/>
        </w:rPr>
        <w:t xml:space="preserve">along with a copy of the dean’s feedback letter to each faculty member. In cases of a recommendation for notice of non-reappointment, a letter to the Provost from the Dean that provides the rationale for the recommendation should be attached.  </w:t>
      </w:r>
      <w:r w:rsidR="00BD4B97" w:rsidRPr="00BD4B97">
        <w:rPr>
          <w:rFonts w:ascii="Gadugi" w:eastAsia="Garamond" w:hAnsi="Gadugi" w:cs="Garamond"/>
          <w:color w:val="000000"/>
          <w:sz w:val="20"/>
          <w:lang w:eastAsia="en-US"/>
        </w:rPr>
        <w:t xml:space="preserve"> </w:t>
      </w:r>
    </w:p>
    <w:p w14:paraId="727CF329" w14:textId="0EED6D67" w:rsidR="003D7DD2" w:rsidRPr="003D7DD2" w:rsidRDefault="003D7DD2" w:rsidP="003D7DD2">
      <w:pPr>
        <w:spacing w:after="0" w:line="259" w:lineRule="auto"/>
        <w:ind w:left="0" w:right="0"/>
        <w:rPr>
          <w:rFonts w:ascii="Gadugi" w:eastAsia="Garamond" w:hAnsi="Gadugi" w:cs="Garamond"/>
          <w:color w:val="000000"/>
          <w:sz w:val="28"/>
          <w:lang w:eastAsia="en-US"/>
        </w:rPr>
      </w:pPr>
    </w:p>
    <w:p w14:paraId="3E895E16" w14:textId="7421A003" w:rsidR="003D7DD2" w:rsidRPr="0089247B" w:rsidRDefault="003D7DD2" w:rsidP="003D7DD2">
      <w:pPr>
        <w:pStyle w:val="Heading3"/>
        <w:spacing w:before="0" w:after="0"/>
        <w:rPr>
          <w:color w:val="auto"/>
        </w:rPr>
      </w:pPr>
      <w:r w:rsidRPr="0089247B">
        <w:rPr>
          <w:color w:val="auto"/>
        </w:rPr>
        <w:t>Confidentiality of the Dossier</w:t>
      </w:r>
    </w:p>
    <w:p w14:paraId="36EB44F0" w14:textId="77777777" w:rsidR="003D7DD2" w:rsidRPr="00BD4B97" w:rsidRDefault="003D7DD2" w:rsidP="003D7DD2">
      <w:pPr>
        <w:spacing w:after="0" w:line="259" w:lineRule="auto"/>
        <w:ind w:left="451" w:right="0"/>
        <w:rPr>
          <w:rFonts w:ascii="Gadugi" w:eastAsia="Garamond" w:hAnsi="Gadugi" w:cs="Garamond"/>
          <w:color w:val="000000"/>
          <w:sz w:val="20"/>
          <w:lang w:eastAsia="en-US"/>
        </w:rPr>
      </w:pPr>
    </w:p>
    <w:p w14:paraId="62B71DB0" w14:textId="032302D6" w:rsidR="00BD4B97" w:rsidRPr="00BD4B97" w:rsidRDefault="003D7DD2" w:rsidP="003D7DD2">
      <w:pPr>
        <w:spacing w:after="3" w:line="248" w:lineRule="auto"/>
        <w:ind w:right="0"/>
        <w:rPr>
          <w:rFonts w:ascii="Gadugi" w:eastAsia="Garamond" w:hAnsi="Gadugi" w:cs="Garamond"/>
          <w:color w:val="000000"/>
          <w:sz w:val="20"/>
          <w:lang w:eastAsia="en-US"/>
        </w:rPr>
      </w:pPr>
      <w:r w:rsidRPr="003D7DD2">
        <w:rPr>
          <w:rFonts w:ascii="Gadugi" w:eastAsia="Garamond" w:hAnsi="Gadugi" w:cs="Garamond"/>
          <w:color w:val="000000"/>
          <w:sz w:val="20"/>
          <w:lang w:eastAsia="en-US"/>
        </w:rPr>
        <w:t xml:space="preserve">The documents and supporting materials </w:t>
      </w:r>
      <w:r w:rsidR="00200C6D" w:rsidRPr="003D7DD2">
        <w:rPr>
          <w:rFonts w:ascii="Gadugi" w:eastAsia="Garamond" w:hAnsi="Gadugi" w:cs="Garamond"/>
          <w:color w:val="000000"/>
          <w:sz w:val="20"/>
          <w:lang w:eastAsia="en-US"/>
        </w:rPr>
        <w:t>become</w:t>
      </w:r>
      <w:r w:rsidR="009841A1">
        <w:rPr>
          <w:rFonts w:ascii="Gadugi" w:eastAsia="Garamond" w:hAnsi="Gadugi" w:cs="Garamond"/>
          <w:color w:val="000000"/>
          <w:sz w:val="20"/>
          <w:lang w:eastAsia="en-US"/>
        </w:rPr>
        <w:t xml:space="preserve"> part of</w:t>
      </w:r>
      <w:r w:rsidRPr="003D7DD2">
        <w:rPr>
          <w:rFonts w:ascii="Gadugi" w:eastAsia="Garamond" w:hAnsi="Gadugi" w:cs="Garamond"/>
          <w:color w:val="000000"/>
          <w:sz w:val="20"/>
          <w:lang w:eastAsia="en-US"/>
        </w:rPr>
        <w:t xml:space="preserve"> a </w:t>
      </w:r>
      <w:bookmarkStart w:id="2" w:name="_Hlk147766518"/>
      <w:r w:rsidRPr="003D7DD2">
        <w:rPr>
          <w:rFonts w:ascii="Gadugi" w:eastAsia="Garamond" w:hAnsi="Gadugi" w:cs="Garamond"/>
          <w:color w:val="000000"/>
          <w:sz w:val="20"/>
          <w:lang w:eastAsia="en-US"/>
        </w:rPr>
        <w:t>confidential</w:t>
      </w:r>
      <w:bookmarkEnd w:id="2"/>
      <w:r w:rsidRPr="003D7DD2">
        <w:rPr>
          <w:rFonts w:ascii="Gadugi" w:eastAsia="Garamond" w:hAnsi="Gadugi" w:cs="Garamond"/>
          <w:color w:val="000000"/>
          <w:sz w:val="20"/>
          <w:lang w:eastAsia="en-US"/>
        </w:rPr>
        <w:t xml:space="preserve"> file after the candidate has reviewed </w:t>
      </w:r>
      <w:r w:rsidR="009841A1">
        <w:rPr>
          <w:rFonts w:ascii="Gadugi" w:eastAsia="Garamond" w:hAnsi="Gadugi" w:cs="Garamond"/>
          <w:color w:val="000000"/>
          <w:sz w:val="20"/>
          <w:lang w:eastAsia="en-US"/>
        </w:rPr>
        <w:t xml:space="preserve">the dossier and forwarded it to the initial review committee (either a department, a </w:t>
      </w:r>
      <w:r w:rsidRPr="003D7DD2">
        <w:rPr>
          <w:rFonts w:ascii="Gadugi" w:eastAsia="Garamond" w:hAnsi="Gadugi" w:cs="Garamond"/>
          <w:color w:val="000000"/>
          <w:sz w:val="20"/>
          <w:lang w:eastAsia="en-US"/>
        </w:rPr>
        <w:t>school, or</w:t>
      </w:r>
      <w:r w:rsidR="009841A1">
        <w:rPr>
          <w:rFonts w:ascii="Gadugi" w:eastAsia="Garamond" w:hAnsi="Gadugi" w:cs="Garamond"/>
          <w:color w:val="000000"/>
          <w:sz w:val="20"/>
          <w:lang w:eastAsia="en-US"/>
        </w:rPr>
        <w:t xml:space="preserve"> the</w:t>
      </w:r>
      <w:r w:rsidRPr="003D7DD2">
        <w:rPr>
          <w:rFonts w:ascii="Gadugi" w:eastAsia="Garamond" w:hAnsi="Gadugi" w:cs="Garamond"/>
          <w:color w:val="000000"/>
          <w:sz w:val="20"/>
          <w:lang w:eastAsia="en-US"/>
        </w:rPr>
        <w:t xml:space="preserve"> </w:t>
      </w:r>
      <w:r w:rsidR="009841A1">
        <w:rPr>
          <w:rFonts w:ascii="Gadugi" w:eastAsia="Garamond" w:hAnsi="Gadugi" w:cs="Garamond"/>
          <w:color w:val="000000"/>
          <w:sz w:val="20"/>
          <w:lang w:eastAsia="en-US"/>
        </w:rPr>
        <w:t>L</w:t>
      </w:r>
      <w:r w:rsidRPr="003D7DD2">
        <w:rPr>
          <w:rFonts w:ascii="Gadugi" w:eastAsia="Garamond" w:hAnsi="Gadugi" w:cs="Garamond"/>
          <w:color w:val="000000"/>
          <w:sz w:val="20"/>
          <w:lang w:eastAsia="en-US"/>
        </w:rPr>
        <w:t xml:space="preserve">ibraries, as </w:t>
      </w:r>
      <w:r w:rsidRPr="003D7DD2">
        <w:rPr>
          <w:rFonts w:ascii="Gadugi" w:eastAsia="Garamond" w:hAnsi="Gadugi" w:cs="Garamond"/>
          <w:color w:val="000000"/>
          <w:sz w:val="20"/>
          <w:lang w:eastAsia="en-US"/>
        </w:rPr>
        <w:lastRenderedPageBreak/>
        <w:t>appropriate). If additional material beyond that required in the evaluation sections of the Initial Review Evaluation is added to the dossier at the department or school/CLAS/</w:t>
      </w:r>
      <w:r w:rsidR="000E7735">
        <w:rPr>
          <w:rFonts w:ascii="Gadugi" w:eastAsia="Garamond" w:hAnsi="Gadugi" w:cs="Garamond"/>
          <w:color w:val="000000"/>
          <w:sz w:val="20"/>
          <w:lang w:eastAsia="en-US"/>
        </w:rPr>
        <w:t>L</w:t>
      </w:r>
      <w:r w:rsidRPr="003D7DD2">
        <w:rPr>
          <w:rFonts w:ascii="Gadugi" w:eastAsia="Garamond" w:hAnsi="Gadugi" w:cs="Garamond"/>
          <w:color w:val="000000"/>
          <w:sz w:val="20"/>
          <w:lang w:eastAsia="en-US"/>
        </w:rPr>
        <w:t>ibraries level, the candidate must be informed of the subject matter, approximate da</w:t>
      </w:r>
      <w:r>
        <w:rPr>
          <w:rFonts w:ascii="Gadugi" w:eastAsia="Garamond" w:hAnsi="Gadugi" w:cs="Garamond"/>
          <w:color w:val="000000"/>
          <w:sz w:val="20"/>
          <w:lang w:eastAsia="en-US"/>
        </w:rPr>
        <w:t>te, and source of the material.</w:t>
      </w:r>
    </w:p>
    <w:p w14:paraId="2993DA39" w14:textId="77777777" w:rsidR="00C2499C" w:rsidRPr="0089247B" w:rsidRDefault="00C2499C" w:rsidP="00C2499C">
      <w:pPr>
        <w:keepNext/>
        <w:keepLines/>
        <w:pBdr>
          <w:top w:val="single" w:sz="8" w:space="1" w:color="auto"/>
          <w:bottom w:val="single" w:sz="8" w:space="1" w:color="auto"/>
        </w:pBdr>
        <w:shd w:val="clear" w:color="auto" w:fill="F2F2F2" w:themeFill="background1" w:themeFillShade="F2"/>
        <w:spacing w:before="360" w:after="0"/>
        <w:jc w:val="center"/>
        <w:outlineLvl w:val="2"/>
        <w:rPr>
          <w:rFonts w:asciiTheme="majorHAnsi" w:eastAsiaTheme="majorEastAsia" w:hAnsiTheme="majorHAnsi" w:cstheme="majorBidi"/>
          <w:b/>
          <w:bCs/>
          <w:sz w:val="28"/>
          <w:szCs w:val="24"/>
        </w:rPr>
      </w:pPr>
      <w:r w:rsidRPr="0089247B">
        <w:rPr>
          <w:rFonts w:asciiTheme="majorHAnsi" w:eastAsiaTheme="majorEastAsia" w:hAnsiTheme="majorHAnsi" w:cstheme="majorBidi"/>
          <w:b/>
          <w:bCs/>
          <w:sz w:val="28"/>
          <w:szCs w:val="24"/>
        </w:rPr>
        <w:t>Questions</w:t>
      </w:r>
    </w:p>
    <w:p w14:paraId="28278431" w14:textId="77777777" w:rsidR="00C2499C" w:rsidRPr="00C2499C" w:rsidRDefault="00C2499C" w:rsidP="00C2499C">
      <w:pPr>
        <w:spacing w:after="0"/>
        <w:rPr>
          <w:rFonts w:ascii="Gadugi" w:hAnsi="Gadugi"/>
          <w:b/>
          <w:i/>
          <w:sz w:val="10"/>
          <w:szCs w:val="24"/>
        </w:rPr>
      </w:pPr>
    </w:p>
    <w:p w14:paraId="4F1E2C81" w14:textId="77777777" w:rsidR="003D7DD2" w:rsidRPr="003D7DD2" w:rsidRDefault="003D7DD2" w:rsidP="003D7DD2">
      <w:pPr>
        <w:ind w:right="-180"/>
        <w:rPr>
          <w:rFonts w:ascii="Gadugi" w:hAnsi="Gadugi"/>
          <w:sz w:val="20"/>
          <w:szCs w:val="24"/>
        </w:rPr>
      </w:pPr>
      <w:r w:rsidRPr="003D7DD2">
        <w:rPr>
          <w:rFonts w:ascii="Gadugi" w:hAnsi="Gadugi"/>
          <w:sz w:val="20"/>
          <w:szCs w:val="24"/>
        </w:rPr>
        <w:t>Contact your department chair, faculty mentor, or dean’s office for questions about completing the candidate statements document and deadlines for submission.</w:t>
      </w:r>
    </w:p>
    <w:p w14:paraId="539E37F7" w14:textId="02B8BA3F" w:rsidR="003D7DD2" w:rsidRPr="003D7DD2" w:rsidRDefault="003D7DD2" w:rsidP="003D7DD2">
      <w:pPr>
        <w:ind w:right="-180"/>
        <w:rPr>
          <w:rFonts w:ascii="Gadugi" w:hAnsi="Gadugi"/>
          <w:sz w:val="20"/>
          <w:szCs w:val="24"/>
        </w:rPr>
      </w:pPr>
      <w:r w:rsidRPr="003D7DD2">
        <w:rPr>
          <w:rFonts w:ascii="Gadugi" w:hAnsi="Gadugi"/>
          <w:sz w:val="20"/>
          <w:szCs w:val="24"/>
        </w:rPr>
        <w:t xml:space="preserve">For any additional questions, please contact the </w:t>
      </w:r>
      <w:r w:rsidR="00C444A7">
        <w:rPr>
          <w:rFonts w:ascii="Gadugi" w:hAnsi="Gadugi"/>
          <w:sz w:val="20"/>
          <w:szCs w:val="24"/>
        </w:rPr>
        <w:t>Office of Faculty Affairs</w:t>
      </w:r>
      <w:r w:rsidRPr="003D7DD2">
        <w:rPr>
          <w:rFonts w:ascii="Gadugi" w:hAnsi="Gadugi"/>
          <w:sz w:val="20"/>
          <w:szCs w:val="24"/>
        </w:rPr>
        <w:t xml:space="preserve"> at 785-864-6489 or </w:t>
      </w:r>
      <w:hyperlink r:id="rId14" w:history="1">
        <w:r w:rsidR="00C444A7" w:rsidRPr="008D4E2B">
          <w:rPr>
            <w:rStyle w:val="Hyperlink"/>
            <w:rFonts w:ascii="Gadugi" w:hAnsi="Gadugi"/>
            <w:sz w:val="20"/>
            <w:szCs w:val="24"/>
          </w:rPr>
          <w:t>facultyaffairs@ku.edu</w:t>
        </w:r>
      </w:hyperlink>
    </w:p>
    <w:sectPr w:rsidR="003D7DD2" w:rsidRPr="003D7DD2" w:rsidSect="0089247B">
      <w:headerReference w:type="default" r:id="rId15"/>
      <w:headerReference w:type="first" r:id="rId16"/>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0D949" w14:textId="77777777" w:rsidR="00EF7D81" w:rsidRDefault="00EF7D81">
      <w:pPr>
        <w:spacing w:after="0" w:line="240" w:lineRule="auto"/>
      </w:pPr>
      <w:r>
        <w:separator/>
      </w:r>
    </w:p>
  </w:endnote>
  <w:endnote w:type="continuationSeparator" w:id="0">
    <w:p w14:paraId="4F2CDC8B" w14:textId="77777777" w:rsidR="00EF7D81" w:rsidRDefault="00EF7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C374" w14:textId="77777777" w:rsidR="00EF7D81" w:rsidRDefault="00EF7D81">
      <w:pPr>
        <w:spacing w:after="0" w:line="240" w:lineRule="auto"/>
      </w:pPr>
      <w:r>
        <w:separator/>
      </w:r>
    </w:p>
  </w:footnote>
  <w:footnote w:type="continuationSeparator" w:id="0">
    <w:p w14:paraId="216C31C3" w14:textId="77777777" w:rsidR="00EF7D81" w:rsidRDefault="00EF7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216877"/>
      <w:docPartObj>
        <w:docPartGallery w:val="Page Numbers (Top of Page)"/>
        <w:docPartUnique/>
      </w:docPartObj>
    </w:sdtPr>
    <w:sdtEndPr>
      <w:rPr>
        <w:noProof/>
      </w:rPr>
    </w:sdtEndPr>
    <w:sdtContent>
      <w:p w14:paraId="29FB4403" w14:textId="5EE51814" w:rsidR="00BD57D4" w:rsidRDefault="00F817D9">
        <w:pPr>
          <w:pStyle w:val="Header"/>
          <w:jc w:val="right"/>
        </w:pPr>
        <w:r>
          <w:t xml:space="preserve">General </w:t>
        </w:r>
        <w:r w:rsidR="00F6357B">
          <w:t>Instructions</w:t>
        </w:r>
        <w:r w:rsidR="00BD57D4">
          <w:t xml:space="preserve"> </w:t>
        </w:r>
        <w:r w:rsidR="00BD57D4">
          <w:fldChar w:fldCharType="begin"/>
        </w:r>
        <w:r w:rsidR="00BD57D4">
          <w:instrText xml:space="preserve"> PAGE   \* MERGEFORMAT </w:instrText>
        </w:r>
        <w:r w:rsidR="00BD57D4">
          <w:fldChar w:fldCharType="separate"/>
        </w:r>
        <w:r w:rsidR="00D30D1E">
          <w:rPr>
            <w:noProof/>
          </w:rPr>
          <w:t>4</w:t>
        </w:r>
        <w:r w:rsidR="00BD57D4">
          <w:rPr>
            <w:noProof/>
          </w:rPr>
          <w:fldChar w:fldCharType="end"/>
        </w:r>
      </w:p>
    </w:sdtContent>
  </w:sdt>
  <w:p w14:paraId="276CE5E2" w14:textId="77777777" w:rsidR="00BD57D4" w:rsidRDefault="00BD57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776F0" w14:textId="3B751525" w:rsidR="0089247B" w:rsidRDefault="0089247B" w:rsidP="0089247B">
    <w:pPr>
      <w:pStyle w:val="Header"/>
      <w:jc w:val="right"/>
      <w:rPr>
        <w:noProof/>
      </w:rPr>
    </w:pPr>
    <w:r>
      <w:rPr>
        <w:noProof/>
        <w:lang w:eastAsia="en-US"/>
      </w:rPr>
      <w:drawing>
        <wp:anchor distT="0" distB="0" distL="114300" distR="114300" simplePos="0" relativeHeight="251658240" behindDoc="0" locked="0" layoutInCell="1" allowOverlap="1" wp14:anchorId="3305084E" wp14:editId="396ABCAD">
          <wp:simplePos x="0" y="0"/>
          <wp:positionH relativeFrom="column">
            <wp:posOffset>64770</wp:posOffset>
          </wp:positionH>
          <wp:positionV relativeFrom="paragraph">
            <wp:posOffset>-69850</wp:posOffset>
          </wp:positionV>
          <wp:extent cx="2408431" cy="573206"/>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08431" cy="573206"/>
                  </a:xfrm>
                  <a:prstGeom prst="rect">
                    <a:avLst/>
                  </a:prstGeom>
                </pic:spPr>
              </pic:pic>
            </a:graphicData>
          </a:graphic>
          <wp14:sizeRelH relativeFrom="page">
            <wp14:pctWidth>0</wp14:pctWidth>
          </wp14:sizeRelH>
          <wp14:sizeRelV relativeFrom="page">
            <wp14:pctHeight>0</wp14:pctHeight>
          </wp14:sizeRelV>
        </wp:anchor>
      </w:drawing>
    </w:r>
    <w:r w:rsidRPr="0089247B">
      <w:t xml:space="preserve"> </w:t>
    </w:r>
    <w:sdt>
      <w:sdtPr>
        <w:id w:val="604315147"/>
        <w:docPartObj>
          <w:docPartGallery w:val="Page Numbers (Top of Page)"/>
          <w:docPartUnique/>
        </w:docPartObj>
      </w:sdtPr>
      <w:sdtEndPr>
        <w:rPr>
          <w:noProof/>
        </w:rPr>
      </w:sdtEndPr>
      <w:sdtContent>
        <w:r>
          <w:t xml:space="preserve">General Instructions </w:t>
        </w:r>
        <w:r>
          <w:fldChar w:fldCharType="begin"/>
        </w:r>
        <w:r>
          <w:instrText xml:space="preserve"> PAGE   \* MERGEFORMAT </w:instrText>
        </w:r>
        <w:r>
          <w:fldChar w:fldCharType="separate"/>
        </w:r>
        <w:r>
          <w:t>2</w:t>
        </w:r>
        <w:r>
          <w:rPr>
            <w:noProof/>
          </w:rPr>
          <w:fldChar w:fldCharType="end"/>
        </w:r>
      </w:sdtContent>
    </w:sdt>
  </w:p>
  <w:p w14:paraId="5C54D03F" w14:textId="20BADB20" w:rsidR="0089247B" w:rsidRDefault="00892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25B9A"/>
    <w:multiLevelType w:val="hybridMultilevel"/>
    <w:tmpl w:val="F1108482"/>
    <w:lvl w:ilvl="0" w:tplc="6C4057D4">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01C713F"/>
    <w:multiLevelType w:val="hybridMultilevel"/>
    <w:tmpl w:val="92B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4663D8"/>
    <w:multiLevelType w:val="hybridMultilevel"/>
    <w:tmpl w:val="1AC44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BF14DF"/>
    <w:multiLevelType w:val="hybridMultilevel"/>
    <w:tmpl w:val="6C80EF98"/>
    <w:lvl w:ilvl="0" w:tplc="5BBEDFB4">
      <w:start w:val="1"/>
      <w:numFmt w:val="decimal"/>
      <w:lvlText w:val="%1."/>
      <w:lvlJc w:val="left"/>
      <w:pPr>
        <w:ind w:left="360" w:hanging="360"/>
      </w:pPr>
      <w:rPr>
        <w:rFonts w:ascii="Gadugi" w:hAnsi="Gadugi" w:hint="default"/>
        <w:sz w:val="2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464757D1"/>
    <w:multiLevelType w:val="hybridMultilevel"/>
    <w:tmpl w:val="49887C68"/>
    <w:lvl w:ilvl="0" w:tplc="257C8B2A">
      <w:start w:val="1"/>
      <w:numFmt w:val="decimal"/>
      <w:lvlText w:val="%1."/>
      <w:lvlJc w:val="left"/>
      <w:pPr>
        <w:ind w:left="811" w:hanging="360"/>
      </w:pPr>
      <w:rPr>
        <w:rFonts w:hint="default"/>
        <w:b w:val="0"/>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5" w15:restartNumberingAfterBreak="0">
    <w:nsid w:val="4CF46745"/>
    <w:multiLevelType w:val="hybridMultilevel"/>
    <w:tmpl w:val="44A4BB4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54CE1E0C"/>
    <w:multiLevelType w:val="hybridMultilevel"/>
    <w:tmpl w:val="F3CED7F4"/>
    <w:lvl w:ilvl="0" w:tplc="04090001">
      <w:start w:val="1"/>
      <w:numFmt w:val="bullet"/>
      <w:lvlText w:val=""/>
      <w:lvlJc w:val="left"/>
      <w:pPr>
        <w:ind w:left="1531" w:hanging="360"/>
      </w:pPr>
      <w:rPr>
        <w:rFonts w:ascii="Symbol" w:hAnsi="Symbol" w:hint="default"/>
      </w:rPr>
    </w:lvl>
    <w:lvl w:ilvl="1" w:tplc="04090003" w:tentative="1">
      <w:start w:val="1"/>
      <w:numFmt w:val="bullet"/>
      <w:lvlText w:val="o"/>
      <w:lvlJc w:val="left"/>
      <w:pPr>
        <w:ind w:left="2251" w:hanging="360"/>
      </w:pPr>
      <w:rPr>
        <w:rFonts w:ascii="Courier New" w:hAnsi="Courier New" w:cs="Courier New" w:hint="default"/>
      </w:rPr>
    </w:lvl>
    <w:lvl w:ilvl="2" w:tplc="04090005" w:tentative="1">
      <w:start w:val="1"/>
      <w:numFmt w:val="bullet"/>
      <w:lvlText w:val=""/>
      <w:lvlJc w:val="left"/>
      <w:pPr>
        <w:ind w:left="2971" w:hanging="360"/>
      </w:pPr>
      <w:rPr>
        <w:rFonts w:ascii="Wingdings" w:hAnsi="Wingdings" w:hint="default"/>
      </w:rPr>
    </w:lvl>
    <w:lvl w:ilvl="3" w:tplc="04090001" w:tentative="1">
      <w:start w:val="1"/>
      <w:numFmt w:val="bullet"/>
      <w:lvlText w:val=""/>
      <w:lvlJc w:val="left"/>
      <w:pPr>
        <w:ind w:left="3691" w:hanging="360"/>
      </w:pPr>
      <w:rPr>
        <w:rFonts w:ascii="Symbol" w:hAnsi="Symbol" w:hint="default"/>
      </w:rPr>
    </w:lvl>
    <w:lvl w:ilvl="4" w:tplc="04090003" w:tentative="1">
      <w:start w:val="1"/>
      <w:numFmt w:val="bullet"/>
      <w:lvlText w:val="o"/>
      <w:lvlJc w:val="left"/>
      <w:pPr>
        <w:ind w:left="4411" w:hanging="360"/>
      </w:pPr>
      <w:rPr>
        <w:rFonts w:ascii="Courier New" w:hAnsi="Courier New" w:cs="Courier New" w:hint="default"/>
      </w:rPr>
    </w:lvl>
    <w:lvl w:ilvl="5" w:tplc="04090005" w:tentative="1">
      <w:start w:val="1"/>
      <w:numFmt w:val="bullet"/>
      <w:lvlText w:val=""/>
      <w:lvlJc w:val="left"/>
      <w:pPr>
        <w:ind w:left="5131" w:hanging="360"/>
      </w:pPr>
      <w:rPr>
        <w:rFonts w:ascii="Wingdings" w:hAnsi="Wingdings" w:hint="default"/>
      </w:rPr>
    </w:lvl>
    <w:lvl w:ilvl="6" w:tplc="04090001" w:tentative="1">
      <w:start w:val="1"/>
      <w:numFmt w:val="bullet"/>
      <w:lvlText w:val=""/>
      <w:lvlJc w:val="left"/>
      <w:pPr>
        <w:ind w:left="5851" w:hanging="360"/>
      </w:pPr>
      <w:rPr>
        <w:rFonts w:ascii="Symbol" w:hAnsi="Symbol" w:hint="default"/>
      </w:rPr>
    </w:lvl>
    <w:lvl w:ilvl="7" w:tplc="04090003" w:tentative="1">
      <w:start w:val="1"/>
      <w:numFmt w:val="bullet"/>
      <w:lvlText w:val="o"/>
      <w:lvlJc w:val="left"/>
      <w:pPr>
        <w:ind w:left="6571" w:hanging="360"/>
      </w:pPr>
      <w:rPr>
        <w:rFonts w:ascii="Courier New" w:hAnsi="Courier New" w:cs="Courier New" w:hint="default"/>
      </w:rPr>
    </w:lvl>
    <w:lvl w:ilvl="8" w:tplc="04090005" w:tentative="1">
      <w:start w:val="1"/>
      <w:numFmt w:val="bullet"/>
      <w:lvlText w:val=""/>
      <w:lvlJc w:val="left"/>
      <w:pPr>
        <w:ind w:left="7291" w:hanging="360"/>
      </w:pPr>
      <w:rPr>
        <w:rFonts w:ascii="Wingdings" w:hAnsi="Wingdings" w:hint="default"/>
      </w:rPr>
    </w:lvl>
  </w:abstractNum>
  <w:abstractNum w:abstractNumId="7" w15:restartNumberingAfterBreak="0">
    <w:nsid w:val="599335FE"/>
    <w:multiLevelType w:val="hybridMultilevel"/>
    <w:tmpl w:val="48BA6EA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5A9A0DD5"/>
    <w:multiLevelType w:val="hybridMultilevel"/>
    <w:tmpl w:val="DDACD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746859"/>
    <w:multiLevelType w:val="hybridMultilevel"/>
    <w:tmpl w:val="EA50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943358"/>
    <w:multiLevelType w:val="hybridMultilevel"/>
    <w:tmpl w:val="EC2A8624"/>
    <w:lvl w:ilvl="0" w:tplc="257C8B2A">
      <w:start w:val="1"/>
      <w:numFmt w:val="decimal"/>
      <w:lvlText w:val="%1."/>
      <w:lvlJc w:val="left"/>
      <w:pPr>
        <w:ind w:left="811" w:hanging="360"/>
      </w:pPr>
      <w:rPr>
        <w:rFonts w:hint="default"/>
        <w:b w:val="0"/>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num w:numId="1" w16cid:durableId="424347479">
    <w:abstractNumId w:val="9"/>
  </w:num>
  <w:num w:numId="2" w16cid:durableId="745417536">
    <w:abstractNumId w:val="3"/>
  </w:num>
  <w:num w:numId="3" w16cid:durableId="872617827">
    <w:abstractNumId w:val="7"/>
  </w:num>
  <w:num w:numId="4" w16cid:durableId="817578461">
    <w:abstractNumId w:val="1"/>
  </w:num>
  <w:num w:numId="5" w16cid:durableId="1613318214">
    <w:abstractNumId w:val="5"/>
  </w:num>
  <w:num w:numId="6" w16cid:durableId="1090396984">
    <w:abstractNumId w:val="4"/>
  </w:num>
  <w:num w:numId="7" w16cid:durableId="719524431">
    <w:abstractNumId w:val="6"/>
  </w:num>
  <w:num w:numId="8" w16cid:durableId="12652164">
    <w:abstractNumId w:val="2"/>
  </w:num>
  <w:num w:numId="9" w16cid:durableId="566955588">
    <w:abstractNumId w:val="0"/>
  </w:num>
  <w:num w:numId="10" w16cid:durableId="518660948">
    <w:abstractNumId w:val="10"/>
  </w:num>
  <w:num w:numId="11" w16cid:durableId="113996096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US" w:vendorID="64" w:dllVersion="6" w:nlCheck="1" w:checkStyle="1"/>
  <w:activeWritingStyle w:appName="MSWord" w:lang="en-US" w:vendorID="64" w:dllVersion="0" w:nlCheck="1" w:checkStyle="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47B"/>
    <w:rsid w:val="00043F0A"/>
    <w:rsid w:val="00062359"/>
    <w:rsid w:val="000D02A7"/>
    <w:rsid w:val="000D0501"/>
    <w:rsid w:val="000E7735"/>
    <w:rsid w:val="000F0B71"/>
    <w:rsid w:val="0012311A"/>
    <w:rsid w:val="0013536F"/>
    <w:rsid w:val="00145935"/>
    <w:rsid w:val="00164B84"/>
    <w:rsid w:val="0018046B"/>
    <w:rsid w:val="00194657"/>
    <w:rsid w:val="001F3B02"/>
    <w:rsid w:val="00200C6D"/>
    <w:rsid w:val="00223ECD"/>
    <w:rsid w:val="0023753E"/>
    <w:rsid w:val="00282C60"/>
    <w:rsid w:val="0029503C"/>
    <w:rsid w:val="002A4739"/>
    <w:rsid w:val="002D51C2"/>
    <w:rsid w:val="00321D37"/>
    <w:rsid w:val="00350B96"/>
    <w:rsid w:val="00354E48"/>
    <w:rsid w:val="00371A03"/>
    <w:rsid w:val="003C45B3"/>
    <w:rsid w:val="003D7DD2"/>
    <w:rsid w:val="003E1933"/>
    <w:rsid w:val="003F411B"/>
    <w:rsid w:val="00404D63"/>
    <w:rsid w:val="0042027F"/>
    <w:rsid w:val="00496CA8"/>
    <w:rsid w:val="004A47EB"/>
    <w:rsid w:val="004C3E3A"/>
    <w:rsid w:val="005053D8"/>
    <w:rsid w:val="00526074"/>
    <w:rsid w:val="005263CF"/>
    <w:rsid w:val="00535C91"/>
    <w:rsid w:val="00565132"/>
    <w:rsid w:val="00590B29"/>
    <w:rsid w:val="005B6916"/>
    <w:rsid w:val="005C2140"/>
    <w:rsid w:val="005D07B3"/>
    <w:rsid w:val="0062249F"/>
    <w:rsid w:val="00646323"/>
    <w:rsid w:val="00657DFC"/>
    <w:rsid w:val="0066196C"/>
    <w:rsid w:val="006679CE"/>
    <w:rsid w:val="006C200E"/>
    <w:rsid w:val="006E1E2D"/>
    <w:rsid w:val="00700701"/>
    <w:rsid w:val="00712FA1"/>
    <w:rsid w:val="0071620E"/>
    <w:rsid w:val="00763E6C"/>
    <w:rsid w:val="00785C45"/>
    <w:rsid w:val="007A13BA"/>
    <w:rsid w:val="008258CF"/>
    <w:rsid w:val="00827087"/>
    <w:rsid w:val="00840A7D"/>
    <w:rsid w:val="00846FCE"/>
    <w:rsid w:val="0086221E"/>
    <w:rsid w:val="00884529"/>
    <w:rsid w:val="008871F7"/>
    <w:rsid w:val="0089247B"/>
    <w:rsid w:val="008A1EEF"/>
    <w:rsid w:val="008A7B59"/>
    <w:rsid w:val="008B1876"/>
    <w:rsid w:val="008C5238"/>
    <w:rsid w:val="008E763F"/>
    <w:rsid w:val="008F6661"/>
    <w:rsid w:val="009123F6"/>
    <w:rsid w:val="00942BAB"/>
    <w:rsid w:val="0097347B"/>
    <w:rsid w:val="009841A1"/>
    <w:rsid w:val="00986A51"/>
    <w:rsid w:val="009B5B6D"/>
    <w:rsid w:val="009C1209"/>
    <w:rsid w:val="009D1C5A"/>
    <w:rsid w:val="009F5924"/>
    <w:rsid w:val="00A0118E"/>
    <w:rsid w:val="00A30DEA"/>
    <w:rsid w:val="00A84F77"/>
    <w:rsid w:val="00A90268"/>
    <w:rsid w:val="00AA41AA"/>
    <w:rsid w:val="00AB4586"/>
    <w:rsid w:val="00AB6827"/>
    <w:rsid w:val="00AC7CAE"/>
    <w:rsid w:val="00AE0F33"/>
    <w:rsid w:val="00AE4306"/>
    <w:rsid w:val="00B1363F"/>
    <w:rsid w:val="00B251AD"/>
    <w:rsid w:val="00B3241F"/>
    <w:rsid w:val="00B50B52"/>
    <w:rsid w:val="00B86A3C"/>
    <w:rsid w:val="00BA1558"/>
    <w:rsid w:val="00BD4B97"/>
    <w:rsid w:val="00BD57D4"/>
    <w:rsid w:val="00BE24BA"/>
    <w:rsid w:val="00C00B0C"/>
    <w:rsid w:val="00C02DC1"/>
    <w:rsid w:val="00C15648"/>
    <w:rsid w:val="00C2013D"/>
    <w:rsid w:val="00C2499C"/>
    <w:rsid w:val="00C444A7"/>
    <w:rsid w:val="00C53988"/>
    <w:rsid w:val="00C638E9"/>
    <w:rsid w:val="00C72731"/>
    <w:rsid w:val="00C8589D"/>
    <w:rsid w:val="00D00270"/>
    <w:rsid w:val="00D01429"/>
    <w:rsid w:val="00D11AB4"/>
    <w:rsid w:val="00D1308E"/>
    <w:rsid w:val="00D22CAA"/>
    <w:rsid w:val="00D23B94"/>
    <w:rsid w:val="00D30D1E"/>
    <w:rsid w:val="00D546B4"/>
    <w:rsid w:val="00D9645F"/>
    <w:rsid w:val="00DA6A84"/>
    <w:rsid w:val="00DB3515"/>
    <w:rsid w:val="00E316D4"/>
    <w:rsid w:val="00E6679C"/>
    <w:rsid w:val="00E71551"/>
    <w:rsid w:val="00E758FD"/>
    <w:rsid w:val="00E82C56"/>
    <w:rsid w:val="00E842D6"/>
    <w:rsid w:val="00E91E28"/>
    <w:rsid w:val="00EB4A58"/>
    <w:rsid w:val="00EF7D81"/>
    <w:rsid w:val="00F2478E"/>
    <w:rsid w:val="00F27306"/>
    <w:rsid w:val="00F276EC"/>
    <w:rsid w:val="00F42166"/>
    <w:rsid w:val="00F45A56"/>
    <w:rsid w:val="00F54E43"/>
    <w:rsid w:val="00F6357B"/>
    <w:rsid w:val="00F76AA8"/>
    <w:rsid w:val="00F817D9"/>
    <w:rsid w:val="00FA07E3"/>
    <w:rsid w:val="00FA0F10"/>
    <w:rsid w:val="00FF1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A21ECC"/>
  <w15:chartTrackingRefBased/>
  <w15:docId w15:val="{0653595C-4532-4BC6-80F3-5CD4EFE2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876"/>
    <w:pPr>
      <w:ind w:left="72" w:right="72"/>
    </w:pPr>
  </w:style>
  <w:style w:type="paragraph" w:styleId="Heading1">
    <w:name w:val="heading 1"/>
    <w:basedOn w:val="Normal"/>
    <w:next w:val="Normal"/>
    <w:qFormat/>
    <w:pPr>
      <w:keepNext/>
      <w:keepLines/>
      <w:tabs>
        <w:tab w:val="right" w:pos="9360"/>
      </w:tabs>
      <w:spacing w:before="240" w:after="120"/>
      <w:jc w:val="right"/>
      <w:outlineLvl w:val="0"/>
    </w:pPr>
    <w:rPr>
      <w:rFonts w:asciiTheme="majorHAnsi" w:eastAsiaTheme="majorEastAsia" w:hAnsiTheme="majorHAnsi" w:cstheme="majorBidi"/>
      <w:color w:val="A5A5A5" w:themeColor="accent1" w:themeShade="BF"/>
      <w:sz w:val="36"/>
      <w:szCs w:val="36"/>
    </w:rPr>
  </w:style>
  <w:style w:type="paragraph" w:styleId="Heading2">
    <w:name w:val="heading 2"/>
    <w:basedOn w:val="Normal"/>
    <w:next w:val="Normal"/>
    <w:unhideWhenUsed/>
    <w:qFormat/>
    <w:pPr>
      <w:spacing w:after="240"/>
      <w:outlineLvl w:val="1"/>
    </w:pPr>
    <w:rPr>
      <w:rFonts w:asciiTheme="majorHAnsi" w:eastAsiaTheme="majorEastAsia" w:hAnsiTheme="majorHAnsi" w:cstheme="majorBidi"/>
      <w:b/>
      <w:bCs/>
      <w:color w:val="7F7F7F" w:themeColor="text1" w:themeTint="80"/>
      <w:sz w:val="28"/>
      <w:szCs w:val="28"/>
    </w:rPr>
  </w:style>
  <w:style w:type="paragraph" w:styleId="Heading3">
    <w:name w:val="heading 3"/>
    <w:basedOn w:val="Normal"/>
    <w:next w:val="Normal"/>
    <w:link w:val="Heading3Char"/>
    <w:unhideWhenUsed/>
    <w:qFormat/>
    <w:pPr>
      <w:keepNext/>
      <w:keepLines/>
      <w:pBdr>
        <w:top w:val="single" w:sz="8" w:space="1" w:color="auto"/>
        <w:bottom w:val="single" w:sz="8" w:space="1" w:color="auto"/>
      </w:pBdr>
      <w:shd w:val="clear" w:color="auto" w:fill="F2F2F2" w:themeFill="background1" w:themeFillShade="F2"/>
      <w:spacing w:before="360" w:after="360"/>
      <w:jc w:val="center"/>
      <w:outlineLvl w:val="2"/>
    </w:pPr>
    <w:rPr>
      <w:rFonts w:asciiTheme="majorHAnsi" w:eastAsiaTheme="majorEastAsia" w:hAnsiTheme="majorHAnsi" w:cstheme="majorBidi"/>
      <w:b/>
      <w:bCs/>
      <w:color w:val="7F7F7F" w:themeColor="text1" w:themeTint="80"/>
      <w:sz w:val="24"/>
      <w:szCs w:val="24"/>
    </w:rPr>
  </w:style>
  <w:style w:type="paragraph" w:styleId="Heading4">
    <w:name w:val="heading 4"/>
    <w:basedOn w:val="Normal"/>
    <w:next w:val="Normal"/>
    <w:unhideWhenUsed/>
    <w:qFormat/>
    <w:pPr>
      <w:keepNext/>
      <w:keepLines/>
      <w:spacing w:before="600" w:after="0"/>
      <w:jc w:val="center"/>
      <w:outlineLvl w:val="3"/>
    </w:pPr>
    <w:rPr>
      <w:rFonts w:asciiTheme="majorHAnsi" w:eastAsiaTheme="majorEastAsia" w:hAnsiTheme="majorHAnsi" w:cstheme="majorBidi"/>
      <w:b/>
      <w:b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Graphic">
    <w:name w:val="Graphic"/>
    <w:basedOn w:val="Normal"/>
    <w:qFormat/>
    <w:pPr>
      <w:spacing w:after="0" w:line="240" w:lineRule="auto"/>
    </w:pPr>
    <w:rPr>
      <w:noProof/>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17D9"/>
    <w:rPr>
      <w:color w:val="0E2DB2"/>
      <w:u w:val="single"/>
    </w:rPr>
  </w:style>
  <w:style w:type="paragraph" w:styleId="ListParagraph">
    <w:name w:val="List Paragraph"/>
    <w:basedOn w:val="Normal"/>
    <w:uiPriority w:val="34"/>
    <w:unhideWhenUsed/>
    <w:qFormat/>
    <w:rsid w:val="00840A7D"/>
    <w:pPr>
      <w:ind w:left="720"/>
      <w:contextualSpacing/>
    </w:pPr>
  </w:style>
  <w:style w:type="paragraph" w:styleId="Header">
    <w:name w:val="header"/>
    <w:basedOn w:val="Normal"/>
    <w:link w:val="HeaderChar"/>
    <w:uiPriority w:val="99"/>
    <w:unhideWhenUsed/>
    <w:rsid w:val="00BD5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7D4"/>
  </w:style>
  <w:style w:type="paragraph" w:styleId="Footer">
    <w:name w:val="footer"/>
    <w:basedOn w:val="Normal"/>
    <w:link w:val="FooterChar"/>
    <w:uiPriority w:val="99"/>
    <w:unhideWhenUsed/>
    <w:rsid w:val="00BD5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7D4"/>
  </w:style>
  <w:style w:type="paragraph" w:styleId="NormalWeb">
    <w:name w:val="Normal (Web)"/>
    <w:basedOn w:val="Normal"/>
    <w:uiPriority w:val="99"/>
    <w:rsid w:val="002D51C2"/>
    <w:pPr>
      <w:spacing w:before="100" w:beforeAutospacing="1" w:after="100" w:afterAutospacing="1" w:line="240" w:lineRule="auto"/>
      <w:ind w:left="0" w:right="0"/>
    </w:pPr>
    <w:rPr>
      <w:rFonts w:ascii="Verdana" w:eastAsia="Times New Roman" w:hAnsi="Verdana" w:cs="Times New Roman"/>
      <w:color w:val="000000"/>
      <w:sz w:val="24"/>
      <w:szCs w:val="24"/>
      <w:lang w:eastAsia="en-US"/>
    </w:rPr>
  </w:style>
  <w:style w:type="paragraph" w:customStyle="1" w:styleId="Default">
    <w:name w:val="Default"/>
    <w:rsid w:val="0056513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BodyText">
    <w:name w:val="Body Text"/>
    <w:basedOn w:val="Normal"/>
    <w:link w:val="BodyTextChar"/>
    <w:rsid w:val="00C2013D"/>
    <w:pPr>
      <w:widowControl w:val="0"/>
      <w:spacing w:after="0" w:line="240" w:lineRule="auto"/>
      <w:ind w:left="0" w:right="0"/>
    </w:pPr>
    <w:rPr>
      <w:rFonts w:ascii="Times New Roman" w:eastAsia="Times New Roman" w:hAnsi="Times New Roman" w:cs="Times New Roman"/>
      <w:szCs w:val="20"/>
      <w:lang w:eastAsia="en-US"/>
    </w:rPr>
  </w:style>
  <w:style w:type="character" w:customStyle="1" w:styleId="BodyTextChar">
    <w:name w:val="Body Text Char"/>
    <w:basedOn w:val="DefaultParagraphFont"/>
    <w:link w:val="BodyText"/>
    <w:rsid w:val="00C2013D"/>
    <w:rPr>
      <w:rFonts w:ascii="Times New Roman" w:eastAsia="Times New Roman" w:hAnsi="Times New Roman" w:cs="Times New Roman"/>
      <w:szCs w:val="20"/>
      <w:lang w:eastAsia="en-US"/>
    </w:rPr>
  </w:style>
  <w:style w:type="character" w:customStyle="1" w:styleId="Heading3Char">
    <w:name w:val="Heading 3 Char"/>
    <w:basedOn w:val="DefaultParagraphFont"/>
    <w:link w:val="Heading3"/>
    <w:rsid w:val="00321D37"/>
    <w:rPr>
      <w:rFonts w:asciiTheme="majorHAnsi" w:eastAsiaTheme="majorEastAsia" w:hAnsiTheme="majorHAnsi" w:cstheme="majorBidi"/>
      <w:b/>
      <w:bCs/>
      <w:color w:val="7F7F7F" w:themeColor="text1" w:themeTint="80"/>
      <w:sz w:val="24"/>
      <w:szCs w:val="24"/>
      <w:shd w:val="clear" w:color="auto" w:fill="F2F2F2" w:themeFill="background1" w:themeFillShade="F2"/>
    </w:rPr>
  </w:style>
  <w:style w:type="character" w:styleId="CommentReference">
    <w:name w:val="annotation reference"/>
    <w:basedOn w:val="DefaultParagraphFont"/>
    <w:uiPriority w:val="99"/>
    <w:semiHidden/>
    <w:unhideWhenUsed/>
    <w:rsid w:val="00B3241F"/>
    <w:rPr>
      <w:sz w:val="16"/>
      <w:szCs w:val="16"/>
    </w:rPr>
  </w:style>
  <w:style w:type="paragraph" w:styleId="CommentText">
    <w:name w:val="annotation text"/>
    <w:basedOn w:val="Normal"/>
    <w:link w:val="CommentTextChar"/>
    <w:uiPriority w:val="99"/>
    <w:semiHidden/>
    <w:unhideWhenUsed/>
    <w:rsid w:val="00B3241F"/>
    <w:pPr>
      <w:spacing w:line="240" w:lineRule="auto"/>
    </w:pPr>
    <w:rPr>
      <w:sz w:val="20"/>
      <w:szCs w:val="20"/>
    </w:rPr>
  </w:style>
  <w:style w:type="character" w:customStyle="1" w:styleId="CommentTextChar">
    <w:name w:val="Comment Text Char"/>
    <w:basedOn w:val="DefaultParagraphFont"/>
    <w:link w:val="CommentText"/>
    <w:uiPriority w:val="99"/>
    <w:semiHidden/>
    <w:rsid w:val="00B3241F"/>
    <w:rPr>
      <w:sz w:val="20"/>
      <w:szCs w:val="20"/>
    </w:rPr>
  </w:style>
  <w:style w:type="paragraph" w:styleId="CommentSubject">
    <w:name w:val="annotation subject"/>
    <w:basedOn w:val="CommentText"/>
    <w:next w:val="CommentText"/>
    <w:link w:val="CommentSubjectChar"/>
    <w:uiPriority w:val="99"/>
    <w:semiHidden/>
    <w:unhideWhenUsed/>
    <w:rsid w:val="00B3241F"/>
    <w:rPr>
      <w:b/>
      <w:bCs/>
    </w:rPr>
  </w:style>
  <w:style w:type="character" w:customStyle="1" w:styleId="CommentSubjectChar">
    <w:name w:val="Comment Subject Char"/>
    <w:basedOn w:val="CommentTextChar"/>
    <w:link w:val="CommentSubject"/>
    <w:uiPriority w:val="99"/>
    <w:semiHidden/>
    <w:rsid w:val="00B3241F"/>
    <w:rPr>
      <w:b/>
      <w:bCs/>
      <w:sz w:val="20"/>
      <w:szCs w:val="20"/>
    </w:rPr>
  </w:style>
  <w:style w:type="paragraph" w:styleId="BalloonText">
    <w:name w:val="Balloon Text"/>
    <w:basedOn w:val="Normal"/>
    <w:link w:val="BalloonTextChar"/>
    <w:uiPriority w:val="99"/>
    <w:semiHidden/>
    <w:unhideWhenUsed/>
    <w:rsid w:val="00B32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41F"/>
    <w:rPr>
      <w:rFonts w:ascii="Segoe UI" w:hAnsi="Segoe UI" w:cs="Segoe UI"/>
      <w:sz w:val="18"/>
      <w:szCs w:val="18"/>
    </w:rPr>
  </w:style>
  <w:style w:type="character" w:styleId="UnresolvedMention">
    <w:name w:val="Unresolved Mention"/>
    <w:basedOn w:val="DefaultParagraphFont"/>
    <w:uiPriority w:val="99"/>
    <w:semiHidden/>
    <w:unhideWhenUsed/>
    <w:rsid w:val="00200C6D"/>
    <w:rPr>
      <w:color w:val="605E5C"/>
      <w:shd w:val="clear" w:color="auto" w:fill="E1DFDD"/>
    </w:rPr>
  </w:style>
  <w:style w:type="character" w:styleId="FollowedHyperlink">
    <w:name w:val="FollowedHyperlink"/>
    <w:basedOn w:val="DefaultParagraphFont"/>
    <w:uiPriority w:val="99"/>
    <w:semiHidden/>
    <w:unhideWhenUsed/>
    <w:rsid w:val="00E316D4"/>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te.ku.edu/guidance-peer-review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nsight.discovery.academicanalytics.com/Discovery/Kans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acultyaffairs.ku.edu/progress-toward-tenure-review"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cuments.ku.edu/policies/governance/FSRR.htm" TargetMode="External"/><Relationship Id="rId4" Type="http://schemas.openxmlformats.org/officeDocument/2006/relationships/styles" Target="styles.xml"/><Relationship Id="rId9" Type="http://schemas.openxmlformats.org/officeDocument/2006/relationships/hyperlink" Target="https://policy.ku.edu/governance/FSRR" TargetMode="External"/><Relationship Id="rId14" Type="http://schemas.openxmlformats.org/officeDocument/2006/relationships/hyperlink" Target="mailto:facultyaffairs@ku.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211b086\AppData\Roaming\Microsoft\Templates\Direct%20deposit%20authorization%20form.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E2CD66D-8636-4DE0-B4F2-EB4474432164}">
  <ds:schemaRefs>
    <ds:schemaRef ds:uri="http://schemas.openxmlformats.org/officeDocument/2006/bibliography"/>
  </ds:schemaRefs>
</ds:datastoreItem>
</file>

<file path=customXml/itemProps2.xml><?xml version="1.0" encoding="utf-8"?>
<ds:datastoreItem xmlns:ds="http://schemas.openxmlformats.org/officeDocument/2006/customXml" ds:itemID="{61C8F6DE-C9D2-4232-9387-B5B93A9BD8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Direct deposit authorization form.dotx</Template>
  <TotalTime>35</TotalTime>
  <Pages>4</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Bowling, Sarah Almetra</dc:creator>
  <cp:keywords/>
  <cp:lastModifiedBy>Huggins, Yolanda L</cp:lastModifiedBy>
  <cp:revision>5</cp:revision>
  <dcterms:created xsi:type="dcterms:W3CDTF">2026-07-02T16:19:00Z</dcterms:created>
  <dcterms:modified xsi:type="dcterms:W3CDTF">2026-07-02T16:56:00Z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TC034630589991</vt:lpwstr>
  </property>
  <property fmtid="{D5CDD505-2E9C-101B-9397-08002B2CF9AE}" pid="3" name="GrammarlyDocumentId">
    <vt:lpwstr>e9c5fb4c-7209-4d46-8f47-3c473b1d4164</vt:lpwstr>
  </property>
</Properties>
</file>