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8021" w14:textId="25269D28" w:rsidR="005565B8" w:rsidRPr="00DC0796" w:rsidRDefault="00AB623C" w:rsidP="00DC0796">
      <w:pPr>
        <w:pStyle w:val="Heading1"/>
        <w:rPr>
          <w:rFonts w:ascii="Calibri" w:hAnsi="Calibri" w:cs="Calibri"/>
          <w:color w:val="17365D" w:themeColor="text2" w:themeShade="BF"/>
          <w:sz w:val="36"/>
          <w:szCs w:val="36"/>
        </w:rPr>
      </w:pPr>
      <w:r w:rsidRPr="00DC0796">
        <w:rPr>
          <w:rFonts w:ascii="Calibri" w:hAnsi="Calibri" w:cs="Calibri"/>
          <w:color w:val="17365D" w:themeColor="text2" w:themeShade="BF"/>
          <w:sz w:val="36"/>
          <w:szCs w:val="36"/>
        </w:rPr>
        <w:t xml:space="preserve">Open Meeting on </w:t>
      </w:r>
      <w:r w:rsidR="00442DEC" w:rsidRPr="00DC0796">
        <w:rPr>
          <w:rFonts w:ascii="Calibri" w:hAnsi="Calibri" w:cs="Calibri"/>
          <w:color w:val="17365D" w:themeColor="text2" w:themeShade="BF"/>
          <w:sz w:val="36"/>
          <w:szCs w:val="36"/>
        </w:rPr>
        <w:t>Promotion and Tenure</w:t>
      </w:r>
    </w:p>
    <w:p w14:paraId="0EF60440" w14:textId="77777777" w:rsidR="005565B8" w:rsidRPr="00645B49" w:rsidRDefault="005565B8" w:rsidP="00EB67FF">
      <w:pPr>
        <w:rPr>
          <w:rFonts w:ascii="Gadugi" w:hAnsi="Gadugi"/>
          <w:sz w:val="6"/>
          <w:szCs w:val="22"/>
        </w:rPr>
      </w:pPr>
    </w:p>
    <w:p w14:paraId="5FC21663" w14:textId="310F6FB6" w:rsidR="007B3A79" w:rsidRPr="00DC0796" w:rsidRDefault="005565B8" w:rsidP="005565B8">
      <w:pPr>
        <w:pStyle w:val="Heading2"/>
        <w:shd w:val="clear" w:color="auto" w:fill="244061" w:themeFill="accent1" w:themeFillShade="80"/>
        <w:rPr>
          <w:rFonts w:ascii="Calibri" w:hAnsi="Calibri" w:cs="Calibri"/>
          <w:sz w:val="24"/>
        </w:rPr>
      </w:pPr>
      <w:r w:rsidRPr="00DC0796">
        <w:rPr>
          <w:rFonts w:ascii="Calibri" w:hAnsi="Calibri" w:cs="Calibri"/>
          <w:sz w:val="24"/>
        </w:rPr>
        <w:t>Important Information and Links</w:t>
      </w:r>
    </w:p>
    <w:p w14:paraId="7AF3CF51" w14:textId="55DB5341" w:rsidR="005565B8" w:rsidRPr="005C332D" w:rsidRDefault="005565B8" w:rsidP="00552D20">
      <w:pPr>
        <w:pStyle w:val="ListParagraph"/>
        <w:numPr>
          <w:ilvl w:val="0"/>
          <w:numId w:val="1"/>
        </w:numPr>
        <w:spacing w:before="240"/>
        <w:rPr>
          <w:rFonts w:ascii="Calibri" w:hAnsi="Calibri" w:cs="Calibri"/>
          <w:color w:val="17365D" w:themeColor="text2" w:themeShade="BF"/>
          <w:szCs w:val="28"/>
        </w:rPr>
      </w:pPr>
      <w:r w:rsidRPr="005C332D">
        <w:rPr>
          <w:rFonts w:ascii="Calibri" w:hAnsi="Calibri" w:cs="Calibri"/>
          <w:color w:val="17365D" w:themeColor="text2" w:themeShade="BF"/>
          <w:szCs w:val="28"/>
        </w:rPr>
        <w:t xml:space="preserve">Standards and procedures for Promotion and Tenure are found in the </w:t>
      </w:r>
      <w:hyperlink r:id="rId10" w:anchor="ArticleVI" w:history="1">
        <w:r w:rsidRPr="005C332D">
          <w:rPr>
            <w:rStyle w:val="Hyperlink"/>
            <w:rFonts w:ascii="Calibri" w:hAnsi="Calibri" w:cs="Calibri"/>
            <w:szCs w:val="28"/>
          </w:rPr>
          <w:t>Faculty Senate Rules and Regulations, Article VI</w:t>
        </w:r>
      </w:hyperlink>
      <w:r w:rsidRPr="005C332D">
        <w:rPr>
          <w:rFonts w:ascii="Calibri" w:hAnsi="Calibri" w:cs="Calibri"/>
          <w:color w:val="17365D" w:themeColor="text2" w:themeShade="BF"/>
          <w:szCs w:val="28"/>
        </w:rPr>
        <w:t xml:space="preserve"> </w:t>
      </w:r>
    </w:p>
    <w:p w14:paraId="7584B61B" w14:textId="21F86E72" w:rsidR="00DE738D" w:rsidRPr="005C332D" w:rsidRDefault="005565B8" w:rsidP="00552D20">
      <w:pPr>
        <w:pStyle w:val="ListParagraph"/>
        <w:numPr>
          <w:ilvl w:val="0"/>
          <w:numId w:val="1"/>
        </w:numPr>
        <w:spacing w:line="276" w:lineRule="auto"/>
        <w:rPr>
          <w:rFonts w:ascii="Calibri" w:hAnsi="Calibri" w:cs="Calibri"/>
          <w:color w:val="17365D" w:themeColor="text2" w:themeShade="BF"/>
          <w:sz w:val="22"/>
        </w:rPr>
      </w:pPr>
      <w:r w:rsidRPr="005C332D">
        <w:rPr>
          <w:rFonts w:ascii="Calibri" w:hAnsi="Calibri" w:cs="Calibri"/>
          <w:color w:val="17365D" w:themeColor="text2" w:themeShade="BF"/>
          <w:szCs w:val="32"/>
        </w:rPr>
        <w:t xml:space="preserve">Information for candidates and evaluators and all the necessary forms </w:t>
      </w:r>
      <w:r w:rsidR="00B52AA0" w:rsidRPr="005C332D">
        <w:rPr>
          <w:rFonts w:ascii="Calibri" w:hAnsi="Calibri" w:cs="Calibri"/>
          <w:color w:val="17365D" w:themeColor="text2" w:themeShade="BF"/>
          <w:szCs w:val="32"/>
        </w:rPr>
        <w:t xml:space="preserve">for the </w:t>
      </w:r>
      <w:r w:rsidR="001D0F03">
        <w:rPr>
          <w:rFonts w:ascii="Calibri" w:hAnsi="Calibri" w:cs="Calibri"/>
          <w:color w:val="17365D" w:themeColor="text2" w:themeShade="BF"/>
          <w:szCs w:val="32"/>
        </w:rPr>
        <w:t>2023</w:t>
      </w:r>
      <w:r w:rsidR="00B52AA0" w:rsidRPr="005C332D">
        <w:rPr>
          <w:rFonts w:ascii="Calibri" w:hAnsi="Calibri" w:cs="Calibri"/>
          <w:color w:val="17365D" w:themeColor="text2" w:themeShade="BF"/>
          <w:szCs w:val="32"/>
        </w:rPr>
        <w:t>-</w:t>
      </w:r>
      <w:r w:rsidR="001D0F03">
        <w:rPr>
          <w:rFonts w:ascii="Calibri" w:hAnsi="Calibri" w:cs="Calibri"/>
          <w:color w:val="17365D" w:themeColor="text2" w:themeShade="BF"/>
          <w:szCs w:val="32"/>
        </w:rPr>
        <w:t>2024</w:t>
      </w:r>
      <w:r w:rsidR="00B52AA0" w:rsidRPr="005C332D">
        <w:rPr>
          <w:rFonts w:ascii="Calibri" w:hAnsi="Calibri" w:cs="Calibri"/>
          <w:color w:val="17365D" w:themeColor="text2" w:themeShade="BF"/>
          <w:szCs w:val="32"/>
        </w:rPr>
        <w:t xml:space="preserve"> Academic Year </w:t>
      </w:r>
      <w:r w:rsidR="005C332D">
        <w:rPr>
          <w:rFonts w:ascii="Calibri" w:hAnsi="Calibri" w:cs="Calibri"/>
          <w:color w:val="17365D" w:themeColor="text2" w:themeShade="BF"/>
          <w:szCs w:val="32"/>
        </w:rPr>
        <w:t>are</w:t>
      </w:r>
      <w:r w:rsidRPr="005C332D">
        <w:rPr>
          <w:rFonts w:ascii="Calibri" w:hAnsi="Calibri" w:cs="Calibri"/>
          <w:color w:val="17365D" w:themeColor="text2" w:themeShade="BF"/>
          <w:szCs w:val="32"/>
        </w:rPr>
        <w:t xml:space="preserve"> available on the </w:t>
      </w:r>
      <w:hyperlink r:id="rId11" w:history="1">
        <w:r w:rsidRPr="00380143">
          <w:rPr>
            <w:rStyle w:val="Hyperlink"/>
            <w:rFonts w:ascii="Calibri" w:hAnsi="Calibri" w:cs="Calibri"/>
            <w:szCs w:val="32"/>
          </w:rPr>
          <w:t xml:space="preserve">Faculty </w:t>
        </w:r>
        <w:r w:rsidR="00380143" w:rsidRPr="00380143">
          <w:rPr>
            <w:rStyle w:val="Hyperlink"/>
            <w:rFonts w:ascii="Calibri" w:hAnsi="Calibri" w:cs="Calibri"/>
            <w:szCs w:val="32"/>
          </w:rPr>
          <w:t>Affairs</w:t>
        </w:r>
        <w:r w:rsidRPr="00380143">
          <w:rPr>
            <w:rStyle w:val="Hyperlink"/>
            <w:rFonts w:ascii="Calibri" w:hAnsi="Calibri" w:cs="Calibri"/>
            <w:szCs w:val="32"/>
          </w:rPr>
          <w:t xml:space="preserve"> </w:t>
        </w:r>
        <w:r w:rsidRPr="00380143">
          <w:rPr>
            <w:rStyle w:val="Hyperlink"/>
            <w:rFonts w:ascii="Calibri" w:hAnsi="Calibri" w:cs="Calibri"/>
            <w:szCs w:val="32"/>
          </w:rPr>
          <w:t>w</w:t>
        </w:r>
        <w:r w:rsidRPr="00380143">
          <w:rPr>
            <w:rStyle w:val="Hyperlink"/>
            <w:rFonts w:ascii="Calibri" w:hAnsi="Calibri" w:cs="Calibri"/>
            <w:szCs w:val="32"/>
          </w:rPr>
          <w:t>ebsite</w:t>
        </w:r>
      </w:hyperlink>
    </w:p>
    <w:p w14:paraId="7F4B2536" w14:textId="0C30B1BF" w:rsidR="00871876" w:rsidRPr="00DC0796" w:rsidRDefault="005565B8" w:rsidP="004B5FF1">
      <w:pPr>
        <w:pStyle w:val="Heading2"/>
        <w:shd w:val="clear" w:color="auto" w:fill="244061" w:themeFill="accent1" w:themeFillShade="80"/>
        <w:rPr>
          <w:rFonts w:ascii="Calibri" w:hAnsi="Calibri" w:cs="Calibri"/>
          <w:sz w:val="24"/>
        </w:rPr>
      </w:pPr>
      <w:r w:rsidRPr="00DC0796">
        <w:rPr>
          <w:rFonts w:ascii="Calibri" w:hAnsi="Calibri" w:cs="Calibri"/>
          <w:sz w:val="24"/>
        </w:rPr>
        <w:t xml:space="preserve">Spring and Summer </w:t>
      </w:r>
      <w:r w:rsidR="001D0F03">
        <w:rPr>
          <w:rFonts w:ascii="Calibri" w:hAnsi="Calibri" w:cs="Calibri"/>
          <w:sz w:val="24"/>
        </w:rPr>
        <w:t>2023</w:t>
      </w:r>
      <w:r w:rsidRPr="00DC0796">
        <w:rPr>
          <w:rFonts w:ascii="Calibri" w:hAnsi="Calibri" w:cs="Calibri"/>
          <w:sz w:val="24"/>
        </w:rPr>
        <w:t xml:space="preserve"> Activities</w:t>
      </w:r>
    </w:p>
    <w:p w14:paraId="4D0A3F56" w14:textId="2914FA77"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 xml:space="preserve">Candidates submit suggestion for external evaluators to initial review unit. Additional suggestions are provided to the chair (or dean in schools without departments). </w:t>
      </w:r>
    </w:p>
    <w:p w14:paraId="24D97D2D" w14:textId="77777777" w:rsidR="005565B8" w:rsidRPr="00176D64" w:rsidRDefault="005565B8" w:rsidP="005565B8">
      <w:pPr>
        <w:pStyle w:val="ListParagraph"/>
        <w:spacing w:before="240" w:after="240"/>
        <w:rPr>
          <w:rFonts w:ascii="Calibri" w:hAnsi="Calibri" w:cs="Calibri"/>
          <w:color w:val="17365D" w:themeColor="text2" w:themeShade="BF"/>
          <w:sz w:val="8"/>
          <w:szCs w:val="10"/>
        </w:rPr>
      </w:pPr>
    </w:p>
    <w:p w14:paraId="4FFB1BF4" w14:textId="09988669"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In some schools, the lists are submitted to the dean’s office for selection of the individuals who will be invited as external evaluators.</w:t>
      </w:r>
    </w:p>
    <w:p w14:paraId="3B692D35" w14:textId="77777777" w:rsidR="005565B8" w:rsidRPr="00176D64" w:rsidRDefault="005565B8" w:rsidP="005565B8">
      <w:pPr>
        <w:pStyle w:val="ListParagraph"/>
        <w:spacing w:before="240" w:after="240"/>
        <w:rPr>
          <w:rFonts w:ascii="Calibri" w:hAnsi="Calibri" w:cs="Calibri"/>
          <w:color w:val="17365D" w:themeColor="text2" w:themeShade="BF"/>
          <w:sz w:val="8"/>
          <w:szCs w:val="8"/>
        </w:rPr>
      </w:pPr>
    </w:p>
    <w:p w14:paraId="23C6EDF5" w14:textId="6CF02C74"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Candidates should make sure that they have a copy of their unit’s criteria and procedures for promotion and tenure.</w:t>
      </w:r>
    </w:p>
    <w:p w14:paraId="54E6435E" w14:textId="77777777" w:rsidR="005565B8" w:rsidRPr="00176D64" w:rsidRDefault="005565B8" w:rsidP="005565B8">
      <w:pPr>
        <w:pStyle w:val="ListParagraph"/>
        <w:spacing w:before="240" w:after="240"/>
        <w:rPr>
          <w:rFonts w:ascii="Calibri" w:hAnsi="Calibri" w:cs="Calibri"/>
          <w:color w:val="17365D" w:themeColor="text2" w:themeShade="BF"/>
          <w:sz w:val="8"/>
          <w:szCs w:val="8"/>
        </w:rPr>
      </w:pPr>
    </w:p>
    <w:p w14:paraId="21A39BC2" w14:textId="18FCA677"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Candidates provide CV and copies of scholarship that will be sent to external evaluators.</w:t>
      </w:r>
    </w:p>
    <w:p w14:paraId="2F8ADF8D" w14:textId="77777777" w:rsidR="005565B8" w:rsidRPr="00176D64" w:rsidRDefault="005565B8" w:rsidP="005565B8">
      <w:pPr>
        <w:pStyle w:val="ListParagraph"/>
        <w:spacing w:before="240" w:after="240"/>
        <w:rPr>
          <w:rFonts w:ascii="Calibri" w:hAnsi="Calibri" w:cs="Calibri"/>
          <w:color w:val="17365D" w:themeColor="text2" w:themeShade="BF"/>
          <w:sz w:val="8"/>
          <w:szCs w:val="8"/>
        </w:rPr>
      </w:pPr>
    </w:p>
    <w:p w14:paraId="1C9B2D75" w14:textId="0FF0318D" w:rsidR="005565B8"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 xml:space="preserve">Departments (or schools without departments) send out requests to external reviewers of candidates for promotion and tenure. </w:t>
      </w:r>
    </w:p>
    <w:p w14:paraId="0CA9B34F" w14:textId="77777777" w:rsidR="005565B8" w:rsidRPr="00176D64" w:rsidRDefault="005565B8" w:rsidP="005565B8">
      <w:pPr>
        <w:pStyle w:val="ListParagraph"/>
        <w:spacing w:before="240" w:after="240"/>
        <w:rPr>
          <w:rFonts w:ascii="Calibri" w:hAnsi="Calibri" w:cs="Calibri"/>
          <w:color w:val="17365D" w:themeColor="text2" w:themeShade="BF"/>
          <w:sz w:val="8"/>
          <w:szCs w:val="8"/>
        </w:rPr>
      </w:pPr>
    </w:p>
    <w:p w14:paraId="2229207F" w14:textId="77777777" w:rsidR="00F62580" w:rsidRPr="00176D64" w:rsidRDefault="005565B8" w:rsidP="00552D20">
      <w:pPr>
        <w:pStyle w:val="ListParagraph"/>
        <w:numPr>
          <w:ilvl w:val="0"/>
          <w:numId w:val="2"/>
        </w:numPr>
        <w:spacing w:before="240" w:after="240"/>
        <w:rPr>
          <w:rFonts w:ascii="Calibri" w:hAnsi="Calibri" w:cs="Calibri"/>
          <w:color w:val="17365D" w:themeColor="text2" w:themeShade="BF"/>
          <w:sz w:val="22"/>
        </w:rPr>
      </w:pPr>
      <w:r w:rsidRPr="00176D64">
        <w:rPr>
          <w:rFonts w:ascii="Calibri" w:hAnsi="Calibri" w:cs="Calibri"/>
          <w:color w:val="17365D" w:themeColor="text2" w:themeShade="BF"/>
          <w:sz w:val="22"/>
        </w:rPr>
        <w:t>In late summer, departments (or schools without departments) share the job description from with candidates for candidates’ review and approval</w:t>
      </w:r>
      <w:r w:rsidR="00F62580" w:rsidRPr="00176D64">
        <w:rPr>
          <w:rFonts w:ascii="Calibri" w:hAnsi="Calibri" w:cs="Calibri"/>
          <w:color w:val="17365D" w:themeColor="text2" w:themeShade="BF"/>
          <w:sz w:val="22"/>
        </w:rPr>
        <w:t>.</w:t>
      </w:r>
    </w:p>
    <w:p w14:paraId="50260BFE" w14:textId="77777777" w:rsidR="00F62580" w:rsidRPr="00DC0796" w:rsidRDefault="00F62580" w:rsidP="00F62580">
      <w:pPr>
        <w:pStyle w:val="ListParagraph"/>
        <w:spacing w:before="240" w:after="240"/>
        <w:jc w:val="center"/>
        <w:rPr>
          <w:rFonts w:ascii="Calibri" w:hAnsi="Calibri" w:cs="Calibri"/>
          <w:color w:val="17365D" w:themeColor="text2" w:themeShade="BF"/>
          <w:sz w:val="22"/>
        </w:rPr>
      </w:pPr>
    </w:p>
    <w:p w14:paraId="56C5B2D8" w14:textId="7AB4A911" w:rsidR="00F62580" w:rsidRPr="007B5197" w:rsidRDefault="005565B8" w:rsidP="007B5197">
      <w:pPr>
        <w:pStyle w:val="ListParagraph"/>
        <w:spacing w:before="240" w:after="240"/>
        <w:jc w:val="center"/>
        <w:rPr>
          <w:rFonts w:ascii="Calibri" w:hAnsi="Calibri" w:cs="Calibri"/>
          <w:b/>
          <w:bCs/>
          <w:i/>
          <w:iCs/>
          <w:color w:val="17365D" w:themeColor="text2" w:themeShade="BF"/>
          <w:sz w:val="22"/>
        </w:rPr>
      </w:pPr>
      <w:r w:rsidRPr="00DC0796">
        <w:rPr>
          <w:rFonts w:ascii="Calibri" w:hAnsi="Calibri" w:cs="Calibri"/>
          <w:b/>
          <w:bCs/>
          <w:i/>
          <w:iCs/>
          <w:color w:val="17365D" w:themeColor="text2" w:themeShade="BF"/>
          <w:sz w:val="22"/>
        </w:rPr>
        <w:t>Deadlines are set by Departments and Schools/Colleges/Research</w:t>
      </w:r>
    </w:p>
    <w:p w14:paraId="0CEF70F4" w14:textId="3216327F" w:rsidR="00EF7F92" w:rsidRPr="00645B49" w:rsidRDefault="00F62580" w:rsidP="005565B8">
      <w:pPr>
        <w:pStyle w:val="Heading2"/>
        <w:shd w:val="clear" w:color="auto" w:fill="244061" w:themeFill="accent1" w:themeFillShade="80"/>
        <w:spacing w:before="0"/>
        <w:rPr>
          <w:rFonts w:ascii="Gadugi" w:hAnsi="Gadugi"/>
          <w:szCs w:val="22"/>
        </w:rPr>
      </w:pPr>
      <w:r>
        <w:rPr>
          <w:rFonts w:ascii="Gadugi" w:hAnsi="Gadugi"/>
          <w:szCs w:val="22"/>
        </w:rPr>
        <w:t xml:space="preserve">Fall </w:t>
      </w:r>
      <w:r w:rsidR="001D0F03">
        <w:rPr>
          <w:rFonts w:ascii="Gadugi" w:hAnsi="Gadugi"/>
          <w:szCs w:val="22"/>
        </w:rPr>
        <w:t>2023</w:t>
      </w:r>
      <w:r>
        <w:rPr>
          <w:rFonts w:ascii="Gadugi" w:hAnsi="Gadugi"/>
          <w:szCs w:val="22"/>
        </w:rPr>
        <w:t xml:space="preserve"> Activities:</w:t>
      </w:r>
      <w:r>
        <w:rPr>
          <w:rFonts w:ascii="Gadugi" w:hAnsi="Gadugi"/>
          <w:szCs w:val="22"/>
        </w:rPr>
        <w:br/>
        <w:t>Schools with Departments, the College, and Office of Research</w:t>
      </w:r>
    </w:p>
    <w:p w14:paraId="1BEDA678" w14:textId="2BA971D0"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If not completed in the summer, departments (or schools without departments) share the job description form with candidates for candidates’ review and approval.</w:t>
      </w:r>
    </w:p>
    <w:p w14:paraId="1E800A50"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0718029E" w14:textId="3118590F"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Departments receive the external evaluation letters.</w:t>
      </w:r>
    </w:p>
    <w:p w14:paraId="0E1D5E8F"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3F2923A4" w14:textId="0A2595C6"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Candidates submit CV &amp; Candidate Statements to the department committee by the department deadline. </w:t>
      </w:r>
    </w:p>
    <w:p w14:paraId="5EEF91F0"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284925EB" w14:textId="0489DE06"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Department committees meet and review dossiers, completing the Initial Evaluation Review form.</w:t>
      </w:r>
    </w:p>
    <w:p w14:paraId="38173265"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19406BF6" w14:textId="76A6AECB"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Department chairs send candidates the Initial Review Summary for Candidate document via email.</w:t>
      </w:r>
    </w:p>
    <w:p w14:paraId="738CAADD"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577A69B3" w14:textId="486D6FC6"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Departments send dossiers with initial review documents to the school by the school’s deadline.</w:t>
      </w:r>
    </w:p>
    <w:p w14:paraId="2965D519"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0E35CDC0" w14:textId="737F1257"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Candidates with marginal/poor evaluation ratings or a negative recommendation may submit a Candidate Response form to the school dean’s office by the school deadline.</w:t>
      </w:r>
    </w:p>
    <w:p w14:paraId="6CEF7B27"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4122EA6F" w14:textId="0E1EB5E7"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School promotion and tenure committees meet initially to review dossiers.</w:t>
      </w:r>
    </w:p>
    <w:p w14:paraId="4B35281F"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73887A30" w14:textId="4D39BE64"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lastRenderedPageBreak/>
        <w:t>Requests for information (if applicable) are sent to departments and responses are added to dossiers. Candidates receive copies of these requests and may submit their own responses.</w:t>
      </w:r>
    </w:p>
    <w:p w14:paraId="3B49DF51"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55C489C8" w14:textId="4B02E0C7"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School promotion and tenure committees meet for the final time and issue Intermediate Review Summary for Candidate documents to candidates via email.</w:t>
      </w:r>
    </w:p>
    <w:p w14:paraId="487616D9"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6FE6B1B8" w14:textId="0940DD9D"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Schools submit all candidate dossiers to </w:t>
      </w:r>
      <w:r w:rsidR="00DC0796">
        <w:rPr>
          <w:rFonts w:ascii="Calibri" w:hAnsi="Calibri" w:cs="Calibri"/>
          <w:color w:val="17365D" w:themeColor="text2" w:themeShade="BF"/>
          <w:sz w:val="22"/>
        </w:rPr>
        <w:t>our</w:t>
      </w:r>
      <w:r w:rsidRPr="00F62580">
        <w:rPr>
          <w:rFonts w:ascii="Calibri" w:hAnsi="Calibri" w:cs="Calibri"/>
          <w:color w:val="17365D" w:themeColor="text2" w:themeShade="BF"/>
          <w:sz w:val="22"/>
        </w:rPr>
        <w:t xml:space="preserve"> office by </w:t>
      </w:r>
      <w:r w:rsidRPr="00F62580">
        <w:rPr>
          <w:rFonts w:ascii="Calibri" w:hAnsi="Calibri" w:cs="Calibri"/>
          <w:b/>
          <w:bCs/>
          <w:color w:val="17365D" w:themeColor="text2" w:themeShade="BF"/>
          <w:sz w:val="22"/>
        </w:rPr>
        <w:t xml:space="preserve">January </w:t>
      </w:r>
      <w:r w:rsidR="001D0F03">
        <w:rPr>
          <w:rFonts w:ascii="Calibri" w:hAnsi="Calibri" w:cs="Calibri"/>
          <w:b/>
          <w:bCs/>
          <w:color w:val="17365D" w:themeColor="text2" w:themeShade="BF"/>
          <w:sz w:val="22"/>
        </w:rPr>
        <w:t>2, 2024</w:t>
      </w:r>
      <w:r w:rsidRPr="00F62580">
        <w:rPr>
          <w:rFonts w:ascii="Calibri" w:hAnsi="Calibri" w:cs="Calibri"/>
          <w:color w:val="17365D" w:themeColor="text2" w:themeShade="BF"/>
          <w:sz w:val="22"/>
        </w:rPr>
        <w:t>.</w:t>
      </w:r>
    </w:p>
    <w:p w14:paraId="0C3B72E6"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722B26D8" w14:textId="4BF79C0D" w:rsidR="00F62580" w:rsidRPr="007B5197" w:rsidRDefault="00F62580" w:rsidP="007B5197">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Candidates with marginal/poor evaluation ratings or a negative recommendation from the school committee may submit Candidate Response forms to </w:t>
      </w:r>
      <w:r w:rsidR="00DC0796">
        <w:rPr>
          <w:rFonts w:ascii="Calibri" w:hAnsi="Calibri" w:cs="Calibri"/>
          <w:color w:val="17365D" w:themeColor="text2" w:themeShade="BF"/>
          <w:sz w:val="22"/>
        </w:rPr>
        <w:t>our</w:t>
      </w:r>
      <w:r w:rsidRPr="00F62580">
        <w:rPr>
          <w:rFonts w:ascii="Calibri" w:hAnsi="Calibri" w:cs="Calibri"/>
          <w:color w:val="17365D" w:themeColor="text2" w:themeShade="BF"/>
          <w:sz w:val="22"/>
        </w:rPr>
        <w:t xml:space="preserve"> office by </w:t>
      </w:r>
      <w:r w:rsidRPr="00F62580">
        <w:rPr>
          <w:rFonts w:ascii="Calibri" w:hAnsi="Calibri" w:cs="Calibri"/>
          <w:b/>
          <w:bCs/>
          <w:color w:val="17365D" w:themeColor="text2" w:themeShade="BF"/>
          <w:sz w:val="22"/>
        </w:rPr>
        <w:t xml:space="preserve">January </w:t>
      </w:r>
      <w:r w:rsidR="001D0F03">
        <w:rPr>
          <w:rFonts w:ascii="Calibri" w:hAnsi="Calibri" w:cs="Calibri"/>
          <w:b/>
          <w:bCs/>
          <w:color w:val="17365D" w:themeColor="text2" w:themeShade="BF"/>
          <w:sz w:val="22"/>
        </w:rPr>
        <w:t>9, 2024</w:t>
      </w:r>
      <w:r w:rsidRPr="00F62580">
        <w:rPr>
          <w:rFonts w:ascii="Calibri" w:hAnsi="Calibri" w:cs="Calibri"/>
          <w:color w:val="17365D" w:themeColor="text2" w:themeShade="BF"/>
          <w:sz w:val="22"/>
        </w:rPr>
        <w:t>.</w:t>
      </w:r>
    </w:p>
    <w:p w14:paraId="108CC207" w14:textId="35A9A5D0" w:rsidR="00F62580" w:rsidRPr="00645B49" w:rsidRDefault="00F62580" w:rsidP="00F62580">
      <w:pPr>
        <w:pStyle w:val="Heading2"/>
        <w:shd w:val="clear" w:color="auto" w:fill="244061" w:themeFill="accent1" w:themeFillShade="80"/>
        <w:spacing w:before="0"/>
        <w:rPr>
          <w:rFonts w:ascii="Gadugi" w:hAnsi="Gadugi"/>
          <w:szCs w:val="22"/>
        </w:rPr>
      </w:pPr>
      <w:r>
        <w:rPr>
          <w:rFonts w:ascii="Gadugi" w:hAnsi="Gadugi"/>
          <w:szCs w:val="22"/>
        </w:rPr>
        <w:t xml:space="preserve">Fall </w:t>
      </w:r>
      <w:r w:rsidR="001D0F03">
        <w:rPr>
          <w:rFonts w:ascii="Gadugi" w:hAnsi="Gadugi"/>
          <w:szCs w:val="22"/>
        </w:rPr>
        <w:t>2023</w:t>
      </w:r>
      <w:r>
        <w:rPr>
          <w:rFonts w:ascii="Gadugi" w:hAnsi="Gadugi"/>
          <w:szCs w:val="22"/>
        </w:rPr>
        <w:t xml:space="preserve"> Activities:</w:t>
      </w:r>
      <w:r>
        <w:rPr>
          <w:rFonts w:ascii="Gadugi" w:hAnsi="Gadugi"/>
          <w:szCs w:val="22"/>
        </w:rPr>
        <w:br/>
        <w:t>Schools without Departments</w:t>
      </w:r>
    </w:p>
    <w:p w14:paraId="53D395C1" w14:textId="72E3D704"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If not completed in the summer, departments (or schools without departments) share the job description form with candidates for candidates’ review and approval.</w:t>
      </w:r>
    </w:p>
    <w:p w14:paraId="7724E9A6"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5E246BA8" w14:textId="586F1651"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Pr>
          <w:rFonts w:ascii="Calibri" w:hAnsi="Calibri" w:cs="Calibri"/>
          <w:color w:val="17365D" w:themeColor="text2" w:themeShade="BF"/>
          <w:sz w:val="22"/>
        </w:rPr>
        <w:t>Schools</w:t>
      </w:r>
      <w:r w:rsidRPr="00F62580">
        <w:rPr>
          <w:rFonts w:ascii="Calibri" w:hAnsi="Calibri" w:cs="Calibri"/>
          <w:color w:val="17365D" w:themeColor="text2" w:themeShade="BF"/>
          <w:sz w:val="22"/>
        </w:rPr>
        <w:t xml:space="preserve"> receive the external evaluation letters.</w:t>
      </w:r>
    </w:p>
    <w:p w14:paraId="3642EAAB"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40316568" w14:textId="6BC9CC03"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Candidates submit CV &amp; Candidate Statements to the </w:t>
      </w:r>
      <w:r>
        <w:rPr>
          <w:rFonts w:ascii="Calibri" w:hAnsi="Calibri" w:cs="Calibri"/>
          <w:color w:val="17365D" w:themeColor="text2" w:themeShade="BF"/>
          <w:sz w:val="22"/>
        </w:rPr>
        <w:t>school</w:t>
      </w:r>
      <w:r w:rsidRPr="00F62580">
        <w:rPr>
          <w:rFonts w:ascii="Calibri" w:hAnsi="Calibri" w:cs="Calibri"/>
          <w:color w:val="17365D" w:themeColor="text2" w:themeShade="BF"/>
          <w:sz w:val="22"/>
        </w:rPr>
        <w:t xml:space="preserve"> committee by the</w:t>
      </w:r>
      <w:r>
        <w:rPr>
          <w:rFonts w:ascii="Calibri" w:hAnsi="Calibri" w:cs="Calibri"/>
          <w:color w:val="17365D" w:themeColor="text2" w:themeShade="BF"/>
          <w:sz w:val="22"/>
        </w:rPr>
        <w:t xml:space="preserve">ir </w:t>
      </w:r>
      <w:r w:rsidRPr="00F62580">
        <w:rPr>
          <w:rFonts w:ascii="Calibri" w:hAnsi="Calibri" w:cs="Calibri"/>
          <w:color w:val="17365D" w:themeColor="text2" w:themeShade="BF"/>
          <w:sz w:val="22"/>
        </w:rPr>
        <w:t xml:space="preserve">deadline. </w:t>
      </w:r>
    </w:p>
    <w:p w14:paraId="420C24F7"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66F2FDEE" w14:textId="61B2E5E4"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Pr>
          <w:rFonts w:ascii="Calibri" w:hAnsi="Calibri" w:cs="Calibri"/>
          <w:color w:val="17365D" w:themeColor="text2" w:themeShade="BF"/>
          <w:sz w:val="22"/>
        </w:rPr>
        <w:t>School</w:t>
      </w:r>
      <w:r w:rsidRPr="00F62580">
        <w:rPr>
          <w:rFonts w:ascii="Calibri" w:hAnsi="Calibri" w:cs="Calibri"/>
          <w:color w:val="17365D" w:themeColor="text2" w:themeShade="BF"/>
          <w:sz w:val="22"/>
        </w:rPr>
        <w:t xml:space="preserve"> committees meet and review dossiers, completing the </w:t>
      </w:r>
      <w:r w:rsidRPr="00F62580">
        <w:rPr>
          <w:rFonts w:ascii="Calibri" w:hAnsi="Calibri" w:cs="Calibri"/>
          <w:i/>
          <w:iCs/>
          <w:color w:val="17365D" w:themeColor="text2" w:themeShade="BF"/>
          <w:sz w:val="22"/>
        </w:rPr>
        <w:t>Initial Evaluation Review</w:t>
      </w:r>
      <w:r w:rsidRPr="00F62580">
        <w:rPr>
          <w:rFonts w:ascii="Calibri" w:hAnsi="Calibri" w:cs="Calibri"/>
          <w:color w:val="17365D" w:themeColor="text2" w:themeShade="BF"/>
          <w:sz w:val="22"/>
        </w:rPr>
        <w:t xml:space="preserve"> form.</w:t>
      </w:r>
    </w:p>
    <w:p w14:paraId="13048A60"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303D4278" w14:textId="0117951C" w:rsidR="00F62580" w:rsidRDefault="00F62580" w:rsidP="00552D20">
      <w:pPr>
        <w:pStyle w:val="ListParagraph"/>
        <w:numPr>
          <w:ilvl w:val="0"/>
          <w:numId w:val="2"/>
        </w:numPr>
        <w:spacing w:before="240" w:after="240"/>
        <w:rPr>
          <w:rFonts w:ascii="Calibri" w:hAnsi="Calibri" w:cs="Calibri"/>
          <w:color w:val="17365D" w:themeColor="text2" w:themeShade="BF"/>
          <w:sz w:val="22"/>
        </w:rPr>
      </w:pPr>
      <w:r>
        <w:rPr>
          <w:rFonts w:ascii="Calibri" w:hAnsi="Calibri" w:cs="Calibri"/>
          <w:color w:val="17365D" w:themeColor="text2" w:themeShade="BF"/>
          <w:sz w:val="22"/>
        </w:rPr>
        <w:t xml:space="preserve">School promotion and tenure </w:t>
      </w:r>
      <w:r w:rsidR="00D137F8">
        <w:rPr>
          <w:rFonts w:ascii="Calibri" w:hAnsi="Calibri" w:cs="Calibri"/>
          <w:color w:val="17365D" w:themeColor="text2" w:themeShade="BF"/>
          <w:sz w:val="22"/>
        </w:rPr>
        <w:t>committees</w:t>
      </w:r>
      <w:r>
        <w:rPr>
          <w:rFonts w:ascii="Calibri" w:hAnsi="Calibri" w:cs="Calibri"/>
          <w:color w:val="17365D" w:themeColor="text2" w:themeShade="BF"/>
          <w:sz w:val="22"/>
        </w:rPr>
        <w:t xml:space="preserve"> </w:t>
      </w:r>
      <w:r w:rsidRPr="00F62580">
        <w:rPr>
          <w:rFonts w:ascii="Calibri" w:hAnsi="Calibri" w:cs="Calibri"/>
          <w:color w:val="17365D" w:themeColor="text2" w:themeShade="BF"/>
          <w:sz w:val="22"/>
        </w:rPr>
        <w:t xml:space="preserve">send candidates the </w:t>
      </w:r>
      <w:r w:rsidRPr="00D137F8">
        <w:rPr>
          <w:rFonts w:ascii="Calibri" w:hAnsi="Calibri" w:cs="Calibri"/>
          <w:i/>
          <w:iCs/>
          <w:color w:val="17365D" w:themeColor="text2" w:themeShade="BF"/>
          <w:sz w:val="22"/>
        </w:rPr>
        <w:t>Initial Review Summary for Candidate</w:t>
      </w:r>
      <w:r w:rsidRPr="00F62580">
        <w:rPr>
          <w:rFonts w:ascii="Calibri" w:hAnsi="Calibri" w:cs="Calibri"/>
          <w:color w:val="17365D" w:themeColor="text2" w:themeShade="BF"/>
          <w:sz w:val="22"/>
        </w:rPr>
        <w:t xml:space="preserve"> document via email.</w:t>
      </w:r>
    </w:p>
    <w:p w14:paraId="392BB4E9"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5CC814C7" w14:textId="7A3F1242" w:rsidR="00F62580" w:rsidRDefault="00D137F8" w:rsidP="00552D20">
      <w:pPr>
        <w:pStyle w:val="ListParagraph"/>
        <w:numPr>
          <w:ilvl w:val="0"/>
          <w:numId w:val="2"/>
        </w:numPr>
        <w:spacing w:before="240" w:after="240"/>
        <w:rPr>
          <w:rFonts w:ascii="Calibri" w:hAnsi="Calibri" w:cs="Calibri"/>
          <w:color w:val="17365D" w:themeColor="text2" w:themeShade="BF"/>
          <w:sz w:val="22"/>
        </w:rPr>
      </w:pPr>
      <w:r>
        <w:rPr>
          <w:rFonts w:ascii="Calibri" w:hAnsi="Calibri" w:cs="Calibri"/>
          <w:color w:val="17365D" w:themeColor="text2" w:themeShade="BF"/>
          <w:sz w:val="22"/>
        </w:rPr>
        <w:t xml:space="preserve">Schools submit all candidate dossiers to </w:t>
      </w:r>
      <w:r w:rsidR="00DC0796">
        <w:rPr>
          <w:rFonts w:ascii="Calibri" w:hAnsi="Calibri" w:cs="Calibri"/>
          <w:color w:val="17365D" w:themeColor="text2" w:themeShade="BF"/>
          <w:sz w:val="22"/>
        </w:rPr>
        <w:t>our</w:t>
      </w:r>
      <w:r>
        <w:rPr>
          <w:rFonts w:ascii="Calibri" w:hAnsi="Calibri" w:cs="Calibri"/>
          <w:color w:val="17365D" w:themeColor="text2" w:themeShade="BF"/>
          <w:sz w:val="22"/>
        </w:rPr>
        <w:t xml:space="preserve"> office by </w:t>
      </w:r>
      <w:r w:rsidRPr="00D137F8">
        <w:rPr>
          <w:rFonts w:ascii="Calibri" w:hAnsi="Calibri" w:cs="Calibri"/>
          <w:b/>
          <w:bCs/>
          <w:color w:val="17365D" w:themeColor="text2" w:themeShade="BF"/>
          <w:sz w:val="22"/>
        </w:rPr>
        <w:t xml:space="preserve">January </w:t>
      </w:r>
      <w:r w:rsidR="001D0F03">
        <w:rPr>
          <w:rFonts w:ascii="Calibri" w:hAnsi="Calibri" w:cs="Calibri"/>
          <w:b/>
          <w:bCs/>
          <w:color w:val="17365D" w:themeColor="text2" w:themeShade="BF"/>
          <w:sz w:val="22"/>
        </w:rPr>
        <w:t>2, 2024</w:t>
      </w:r>
      <w:r w:rsidR="00F62580" w:rsidRPr="00F62580">
        <w:rPr>
          <w:rFonts w:ascii="Calibri" w:hAnsi="Calibri" w:cs="Calibri"/>
          <w:color w:val="17365D" w:themeColor="text2" w:themeShade="BF"/>
          <w:sz w:val="22"/>
        </w:rPr>
        <w:t>.</w:t>
      </w:r>
    </w:p>
    <w:p w14:paraId="0A7EB472" w14:textId="77777777" w:rsidR="00F62580" w:rsidRPr="00F62580" w:rsidRDefault="00F62580" w:rsidP="00F62580">
      <w:pPr>
        <w:pStyle w:val="ListParagraph"/>
        <w:spacing w:before="240" w:after="240"/>
        <w:rPr>
          <w:rFonts w:ascii="Calibri" w:hAnsi="Calibri" w:cs="Calibri"/>
          <w:color w:val="17365D" w:themeColor="text2" w:themeShade="BF"/>
          <w:sz w:val="12"/>
          <w:szCs w:val="12"/>
        </w:rPr>
      </w:pPr>
    </w:p>
    <w:p w14:paraId="1FBCBEA8" w14:textId="3B8D9AB8" w:rsidR="00857765" w:rsidRPr="00B70DEE" w:rsidRDefault="00F62580" w:rsidP="00552D20">
      <w:pPr>
        <w:pStyle w:val="ListParagraph"/>
        <w:numPr>
          <w:ilvl w:val="0"/>
          <w:numId w:val="2"/>
        </w:numPr>
        <w:spacing w:before="240" w:after="240"/>
        <w:rPr>
          <w:rFonts w:ascii="Calibri" w:hAnsi="Calibri" w:cs="Calibri"/>
          <w:color w:val="17365D" w:themeColor="text2" w:themeShade="BF"/>
          <w:sz w:val="22"/>
        </w:rPr>
      </w:pPr>
      <w:r w:rsidRPr="00F62580">
        <w:rPr>
          <w:rFonts w:ascii="Calibri" w:hAnsi="Calibri" w:cs="Calibri"/>
          <w:color w:val="17365D" w:themeColor="text2" w:themeShade="BF"/>
          <w:sz w:val="22"/>
        </w:rPr>
        <w:t xml:space="preserve">Candidates with marginal/poor evaluation ratings or a negative recommendation from the school committee may submit Candidate Response forms to </w:t>
      </w:r>
      <w:r w:rsidR="00DC0796">
        <w:rPr>
          <w:rFonts w:ascii="Calibri" w:hAnsi="Calibri" w:cs="Calibri"/>
          <w:color w:val="17365D" w:themeColor="text2" w:themeShade="BF"/>
          <w:sz w:val="22"/>
        </w:rPr>
        <w:t>our</w:t>
      </w:r>
      <w:r w:rsidRPr="00F62580">
        <w:rPr>
          <w:rFonts w:ascii="Calibri" w:hAnsi="Calibri" w:cs="Calibri"/>
          <w:color w:val="17365D" w:themeColor="text2" w:themeShade="BF"/>
          <w:sz w:val="22"/>
        </w:rPr>
        <w:t xml:space="preserve"> office by </w:t>
      </w:r>
      <w:r w:rsidRPr="00F62580">
        <w:rPr>
          <w:rFonts w:ascii="Calibri" w:hAnsi="Calibri" w:cs="Calibri"/>
          <w:b/>
          <w:bCs/>
          <w:color w:val="17365D" w:themeColor="text2" w:themeShade="BF"/>
          <w:sz w:val="22"/>
        </w:rPr>
        <w:t xml:space="preserve">January </w:t>
      </w:r>
      <w:r w:rsidR="001D0F03">
        <w:rPr>
          <w:rFonts w:ascii="Calibri" w:hAnsi="Calibri" w:cs="Calibri"/>
          <w:b/>
          <w:bCs/>
          <w:color w:val="17365D" w:themeColor="text2" w:themeShade="BF"/>
          <w:sz w:val="22"/>
        </w:rPr>
        <w:t>9, 2024</w:t>
      </w:r>
      <w:r w:rsidRPr="00F62580">
        <w:rPr>
          <w:rFonts w:ascii="Calibri" w:hAnsi="Calibri" w:cs="Calibri"/>
          <w:color w:val="17365D" w:themeColor="text2" w:themeShade="BF"/>
          <w:sz w:val="22"/>
        </w:rPr>
        <w:t>.</w:t>
      </w:r>
    </w:p>
    <w:p w14:paraId="4237C683" w14:textId="67C4CC88" w:rsidR="00AB623C" w:rsidRPr="007B5197" w:rsidRDefault="00D137F8" w:rsidP="00AB623C">
      <w:pPr>
        <w:pStyle w:val="Heading2"/>
        <w:shd w:val="clear" w:color="auto" w:fill="244061" w:themeFill="accent1" w:themeFillShade="80"/>
        <w:rPr>
          <w:rFonts w:ascii="Calibri" w:hAnsi="Calibri" w:cs="Calibri"/>
          <w:sz w:val="24"/>
        </w:rPr>
      </w:pPr>
      <w:r w:rsidRPr="007B5197">
        <w:rPr>
          <w:rFonts w:ascii="Calibri" w:hAnsi="Calibri" w:cs="Calibri"/>
          <w:sz w:val="24"/>
        </w:rPr>
        <w:t>University Dates</w:t>
      </w:r>
    </w:p>
    <w:p w14:paraId="1E4FE670" w14:textId="47BB654C" w:rsidR="00D137F8" w:rsidRPr="007B5197" w:rsidRDefault="00D137F8" w:rsidP="00D137F8">
      <w:pPr>
        <w:spacing w:before="240" w:line="276" w:lineRule="auto"/>
        <w:rPr>
          <w:rFonts w:ascii="Calibri" w:hAnsi="Calibri" w:cs="Calibri"/>
          <w:b/>
          <w:bCs/>
          <w:color w:val="17365D" w:themeColor="text2" w:themeShade="BF"/>
          <w:sz w:val="22"/>
        </w:rPr>
      </w:pPr>
      <w:r w:rsidRPr="007B5197">
        <w:rPr>
          <w:rFonts w:ascii="Calibri" w:hAnsi="Calibri" w:cs="Calibri"/>
          <w:b/>
          <w:bCs/>
          <w:color w:val="17365D" w:themeColor="text2" w:themeShade="BF"/>
          <w:sz w:val="22"/>
        </w:rPr>
        <w:t>January</w:t>
      </w:r>
    </w:p>
    <w:p w14:paraId="460ABA96" w14:textId="28AD748E" w:rsidR="00D137F8" w:rsidRPr="007B5197" w:rsidRDefault="00D137F8" w:rsidP="00552D20">
      <w:pPr>
        <w:pStyle w:val="ListParagraph"/>
        <w:numPr>
          <w:ilvl w:val="0"/>
          <w:numId w:val="2"/>
        </w:numPr>
        <w:spacing w:before="240" w:after="240"/>
        <w:rPr>
          <w:rFonts w:ascii="Calibri" w:hAnsi="Calibri" w:cs="Calibri"/>
          <w:color w:val="17365D" w:themeColor="text2" w:themeShade="BF"/>
          <w:sz w:val="22"/>
        </w:rPr>
      </w:pPr>
      <w:r w:rsidRPr="007B5197">
        <w:rPr>
          <w:rFonts w:ascii="Calibri" w:hAnsi="Calibri" w:cs="Calibri"/>
          <w:b/>
          <w:bCs/>
          <w:i/>
          <w:iCs/>
          <w:color w:val="17365D" w:themeColor="text2" w:themeShade="BF"/>
          <w:sz w:val="22"/>
        </w:rPr>
        <w:t xml:space="preserve">January </w:t>
      </w:r>
      <w:r w:rsidR="001D0F03">
        <w:rPr>
          <w:rFonts w:ascii="Calibri" w:hAnsi="Calibri" w:cs="Calibri"/>
          <w:b/>
          <w:bCs/>
          <w:i/>
          <w:iCs/>
          <w:color w:val="17365D" w:themeColor="text2" w:themeShade="BF"/>
          <w:sz w:val="22"/>
        </w:rPr>
        <w:t>2</w:t>
      </w:r>
      <w:r w:rsidRPr="007B5197">
        <w:rPr>
          <w:rFonts w:ascii="Calibri" w:hAnsi="Calibri" w:cs="Calibri"/>
          <w:b/>
          <w:bCs/>
          <w:i/>
          <w:iCs/>
          <w:color w:val="17365D" w:themeColor="text2" w:themeShade="BF"/>
          <w:sz w:val="22"/>
        </w:rPr>
        <w:t xml:space="preserve">, </w:t>
      </w:r>
      <w:r w:rsidR="001D0F03">
        <w:rPr>
          <w:rFonts w:ascii="Calibri" w:hAnsi="Calibri" w:cs="Calibri"/>
          <w:b/>
          <w:bCs/>
          <w:i/>
          <w:iCs/>
          <w:color w:val="17365D" w:themeColor="text2" w:themeShade="BF"/>
          <w:sz w:val="22"/>
        </w:rPr>
        <w:t>2024</w:t>
      </w:r>
      <w:r w:rsidRPr="007B5197">
        <w:rPr>
          <w:rFonts w:ascii="Calibri" w:hAnsi="Calibri" w:cs="Calibri"/>
          <w:b/>
          <w:bCs/>
          <w:i/>
          <w:iCs/>
          <w:color w:val="17365D" w:themeColor="text2" w:themeShade="BF"/>
          <w:sz w:val="22"/>
        </w:rPr>
        <w:t>:</w:t>
      </w:r>
      <w:r w:rsidRPr="007B5197">
        <w:rPr>
          <w:rFonts w:ascii="Calibri" w:hAnsi="Calibri" w:cs="Calibri"/>
          <w:color w:val="17365D" w:themeColor="text2" w:themeShade="BF"/>
          <w:sz w:val="22"/>
        </w:rPr>
        <w:t xml:space="preserve"> Promotion and Tenure files due to the Office of the Provost by 5:00pm</w:t>
      </w:r>
    </w:p>
    <w:p w14:paraId="093364A7" w14:textId="0E4C45AB" w:rsidR="00D137F8" w:rsidRPr="007B5197" w:rsidRDefault="00D137F8" w:rsidP="00552D20">
      <w:pPr>
        <w:pStyle w:val="ListParagraph"/>
        <w:numPr>
          <w:ilvl w:val="0"/>
          <w:numId w:val="2"/>
        </w:numPr>
        <w:spacing w:before="240" w:after="240"/>
        <w:rPr>
          <w:rFonts w:ascii="Calibri" w:hAnsi="Calibri" w:cs="Calibri"/>
          <w:color w:val="17365D" w:themeColor="text2" w:themeShade="BF"/>
          <w:sz w:val="22"/>
        </w:rPr>
      </w:pPr>
      <w:r w:rsidRPr="007B5197">
        <w:rPr>
          <w:rFonts w:ascii="Calibri" w:hAnsi="Calibri" w:cs="Calibri"/>
          <w:b/>
          <w:bCs/>
          <w:i/>
          <w:iCs/>
          <w:color w:val="17365D" w:themeColor="text2" w:themeShade="BF"/>
          <w:sz w:val="22"/>
        </w:rPr>
        <w:t xml:space="preserve">January </w:t>
      </w:r>
      <w:r w:rsidR="001D0F03">
        <w:rPr>
          <w:rFonts w:ascii="Calibri" w:hAnsi="Calibri" w:cs="Calibri"/>
          <w:b/>
          <w:bCs/>
          <w:i/>
          <w:iCs/>
          <w:color w:val="17365D" w:themeColor="text2" w:themeShade="BF"/>
          <w:sz w:val="22"/>
        </w:rPr>
        <w:t>9</w:t>
      </w:r>
      <w:r w:rsidRPr="007B5197">
        <w:rPr>
          <w:rFonts w:ascii="Calibri" w:hAnsi="Calibri" w:cs="Calibri"/>
          <w:b/>
          <w:bCs/>
          <w:i/>
          <w:iCs/>
          <w:color w:val="17365D" w:themeColor="text2" w:themeShade="BF"/>
          <w:sz w:val="22"/>
        </w:rPr>
        <w:t xml:space="preserve">, </w:t>
      </w:r>
      <w:r w:rsidR="001D0F03">
        <w:rPr>
          <w:rFonts w:ascii="Calibri" w:hAnsi="Calibri" w:cs="Calibri"/>
          <w:b/>
          <w:bCs/>
          <w:i/>
          <w:iCs/>
          <w:color w:val="17365D" w:themeColor="text2" w:themeShade="BF"/>
          <w:sz w:val="22"/>
        </w:rPr>
        <w:t>2024</w:t>
      </w:r>
      <w:r w:rsidRPr="007B5197">
        <w:rPr>
          <w:rFonts w:ascii="Calibri" w:hAnsi="Calibri" w:cs="Calibri"/>
          <w:b/>
          <w:bCs/>
          <w:i/>
          <w:iCs/>
          <w:color w:val="17365D" w:themeColor="text2" w:themeShade="BF"/>
          <w:sz w:val="22"/>
        </w:rPr>
        <w:t>:</w:t>
      </w:r>
      <w:r w:rsidRPr="007B5197">
        <w:rPr>
          <w:rFonts w:ascii="Calibri" w:hAnsi="Calibri" w:cs="Calibri"/>
          <w:color w:val="17365D" w:themeColor="text2" w:themeShade="BF"/>
          <w:sz w:val="22"/>
        </w:rPr>
        <w:t xml:space="preserve"> Candidate Response to negative Recommendation or Marginal/Poor Evaluation from School, College, or Research Center due in Provost office by 5:00pm.</w:t>
      </w:r>
    </w:p>
    <w:p w14:paraId="26B66535" w14:textId="54CC96A0" w:rsidR="00D137F8" w:rsidRPr="007B5197" w:rsidRDefault="00D137F8" w:rsidP="00AB623C">
      <w:pPr>
        <w:spacing w:before="240" w:line="276" w:lineRule="auto"/>
        <w:rPr>
          <w:rFonts w:ascii="Calibri" w:hAnsi="Calibri" w:cs="Calibri"/>
          <w:b/>
          <w:bCs/>
          <w:color w:val="17365D" w:themeColor="text2" w:themeShade="BF"/>
          <w:sz w:val="22"/>
        </w:rPr>
      </w:pPr>
      <w:r w:rsidRPr="007B5197">
        <w:rPr>
          <w:rFonts w:ascii="Calibri" w:hAnsi="Calibri" w:cs="Calibri"/>
          <w:b/>
          <w:bCs/>
          <w:color w:val="17365D" w:themeColor="text2" w:themeShade="BF"/>
          <w:sz w:val="22"/>
        </w:rPr>
        <w:t>February</w:t>
      </w:r>
    </w:p>
    <w:p w14:paraId="11E75503" w14:textId="3AC53D8B" w:rsidR="00D137F8" w:rsidRPr="007B5197" w:rsidRDefault="00D137F8" w:rsidP="00552D20">
      <w:pPr>
        <w:pStyle w:val="ListParagraph"/>
        <w:numPr>
          <w:ilvl w:val="0"/>
          <w:numId w:val="3"/>
        </w:numPr>
        <w:spacing w:before="240" w:line="276" w:lineRule="auto"/>
        <w:rPr>
          <w:rFonts w:ascii="Calibri" w:hAnsi="Calibri" w:cs="Calibri"/>
          <w:color w:val="17365D" w:themeColor="text2" w:themeShade="BF"/>
          <w:sz w:val="22"/>
        </w:rPr>
      </w:pPr>
      <w:r w:rsidRPr="007B5197">
        <w:rPr>
          <w:rFonts w:ascii="Calibri" w:hAnsi="Calibri" w:cs="Calibri"/>
          <w:b/>
          <w:bCs/>
          <w:color w:val="17365D" w:themeColor="text2" w:themeShade="BF"/>
          <w:sz w:val="22"/>
        </w:rPr>
        <w:t>Early February:</w:t>
      </w:r>
      <w:r w:rsidRPr="007B5197">
        <w:rPr>
          <w:rFonts w:ascii="Calibri" w:hAnsi="Calibri" w:cs="Calibri"/>
          <w:color w:val="17365D" w:themeColor="text2" w:themeShade="BF"/>
          <w:sz w:val="22"/>
        </w:rPr>
        <w:t xml:space="preserve"> UCPT Initial Discussion Meeting; Requests for Information letters delivered to deans for distribution to departments and candidates.</w:t>
      </w:r>
    </w:p>
    <w:p w14:paraId="5B06E9D9" w14:textId="52F777C3" w:rsidR="00D137F8" w:rsidRPr="007B5197" w:rsidRDefault="00D137F8" w:rsidP="00552D20">
      <w:pPr>
        <w:pStyle w:val="ListParagraph"/>
        <w:numPr>
          <w:ilvl w:val="0"/>
          <w:numId w:val="3"/>
        </w:numPr>
        <w:spacing w:before="240" w:line="276" w:lineRule="auto"/>
        <w:rPr>
          <w:rFonts w:ascii="Calibri" w:hAnsi="Calibri" w:cs="Calibri"/>
          <w:color w:val="17365D" w:themeColor="text2" w:themeShade="BF"/>
          <w:sz w:val="22"/>
        </w:rPr>
      </w:pPr>
      <w:r w:rsidRPr="007B5197">
        <w:rPr>
          <w:rFonts w:ascii="Calibri" w:hAnsi="Calibri" w:cs="Calibri"/>
          <w:b/>
          <w:bCs/>
          <w:color w:val="17365D" w:themeColor="text2" w:themeShade="BF"/>
          <w:sz w:val="22"/>
        </w:rPr>
        <w:t>Late February:</w:t>
      </w:r>
      <w:r w:rsidRPr="007B5197">
        <w:rPr>
          <w:rFonts w:ascii="Calibri" w:hAnsi="Calibri" w:cs="Calibri"/>
          <w:color w:val="17365D" w:themeColor="text2" w:themeShade="BF"/>
          <w:sz w:val="22"/>
        </w:rPr>
        <w:t xml:space="preserve"> </w:t>
      </w:r>
      <w:r w:rsidRPr="007B5197">
        <w:rPr>
          <w:rFonts w:ascii="Calibri" w:hAnsi="Calibri" w:cs="Calibri"/>
          <w:color w:val="17365D" w:themeColor="text2" w:themeShade="BF"/>
          <w:sz w:val="22"/>
          <w:szCs w:val="28"/>
        </w:rPr>
        <w:t>UCPT Final Review Period and UCPT Final Discussion Meeting</w:t>
      </w:r>
    </w:p>
    <w:p w14:paraId="4145E040" w14:textId="4B4297F6" w:rsidR="00D137F8" w:rsidRPr="007B5197" w:rsidRDefault="00D137F8" w:rsidP="00AB623C">
      <w:pPr>
        <w:spacing w:before="240" w:line="276" w:lineRule="auto"/>
        <w:rPr>
          <w:rFonts w:ascii="Calibri" w:hAnsi="Calibri" w:cs="Calibri"/>
          <w:b/>
          <w:bCs/>
          <w:color w:val="17365D" w:themeColor="text2" w:themeShade="BF"/>
          <w:sz w:val="22"/>
        </w:rPr>
      </w:pPr>
      <w:r w:rsidRPr="007B5197">
        <w:rPr>
          <w:rFonts w:ascii="Calibri" w:hAnsi="Calibri" w:cs="Calibri"/>
          <w:b/>
          <w:bCs/>
          <w:color w:val="17365D" w:themeColor="text2" w:themeShade="BF"/>
          <w:sz w:val="22"/>
        </w:rPr>
        <w:t>March</w:t>
      </w:r>
    </w:p>
    <w:p w14:paraId="20C0A726" w14:textId="791C3262" w:rsidR="00D137F8" w:rsidRPr="007B5197" w:rsidRDefault="00D137F8" w:rsidP="00552D20">
      <w:pPr>
        <w:pStyle w:val="ListParagraph"/>
        <w:numPr>
          <w:ilvl w:val="0"/>
          <w:numId w:val="4"/>
        </w:numPr>
        <w:spacing w:before="240" w:line="276" w:lineRule="auto"/>
        <w:rPr>
          <w:rFonts w:ascii="Calibri" w:hAnsi="Calibri" w:cs="Calibri"/>
          <w:color w:val="17365D" w:themeColor="text2" w:themeShade="BF"/>
          <w:sz w:val="22"/>
        </w:rPr>
      </w:pPr>
      <w:r w:rsidRPr="007B5197">
        <w:rPr>
          <w:rFonts w:ascii="Calibri" w:hAnsi="Calibri" w:cs="Calibri"/>
          <w:b/>
          <w:bCs/>
          <w:color w:val="17365D" w:themeColor="text2" w:themeShade="BF"/>
          <w:sz w:val="22"/>
        </w:rPr>
        <w:t>March</w:t>
      </w:r>
      <w:r w:rsidR="001D0F03">
        <w:rPr>
          <w:rFonts w:ascii="Calibri" w:hAnsi="Calibri" w:cs="Calibri"/>
          <w:b/>
          <w:bCs/>
          <w:color w:val="17365D" w:themeColor="text2" w:themeShade="BF"/>
          <w:sz w:val="22"/>
        </w:rPr>
        <w:t xml:space="preserve"> 1, 2024</w:t>
      </w:r>
      <w:r w:rsidRPr="007B5197">
        <w:rPr>
          <w:rFonts w:ascii="Calibri" w:hAnsi="Calibri" w:cs="Calibri"/>
          <w:b/>
          <w:bCs/>
          <w:color w:val="17365D" w:themeColor="text2" w:themeShade="BF"/>
          <w:sz w:val="22"/>
        </w:rPr>
        <w:t>:</w:t>
      </w:r>
      <w:r w:rsidRPr="007B5197">
        <w:rPr>
          <w:rFonts w:ascii="Calibri" w:hAnsi="Calibri" w:cs="Calibri"/>
          <w:color w:val="17365D" w:themeColor="text2" w:themeShade="BF"/>
          <w:sz w:val="22"/>
        </w:rPr>
        <w:t xml:space="preserve"> UCPT and Provost Recommendation delivered to candidates, department chairs/directors, and deans/vice chancellor.</w:t>
      </w:r>
    </w:p>
    <w:p w14:paraId="263F3DC2" w14:textId="47E549A1" w:rsidR="00D137F8" w:rsidRPr="007B5197" w:rsidRDefault="00D137F8" w:rsidP="00552D20">
      <w:pPr>
        <w:pStyle w:val="ListParagraph"/>
        <w:numPr>
          <w:ilvl w:val="0"/>
          <w:numId w:val="4"/>
        </w:numPr>
        <w:spacing w:before="240" w:line="276" w:lineRule="auto"/>
        <w:rPr>
          <w:rFonts w:ascii="Calibri" w:hAnsi="Calibri" w:cs="Calibri"/>
          <w:color w:val="17365D" w:themeColor="text2" w:themeShade="BF"/>
          <w:sz w:val="22"/>
        </w:rPr>
      </w:pPr>
      <w:r w:rsidRPr="007B5197">
        <w:rPr>
          <w:rFonts w:ascii="Calibri" w:hAnsi="Calibri" w:cs="Calibri"/>
          <w:b/>
          <w:bCs/>
          <w:color w:val="17365D" w:themeColor="text2" w:themeShade="BF"/>
          <w:sz w:val="22"/>
        </w:rPr>
        <w:t>March 1</w:t>
      </w:r>
      <w:r w:rsidR="001D0F03">
        <w:rPr>
          <w:rFonts w:ascii="Calibri" w:hAnsi="Calibri" w:cs="Calibri"/>
          <w:b/>
          <w:bCs/>
          <w:color w:val="17365D" w:themeColor="text2" w:themeShade="BF"/>
          <w:sz w:val="22"/>
        </w:rPr>
        <w:t>1</w:t>
      </w:r>
      <w:r w:rsidRPr="007B5197">
        <w:rPr>
          <w:rFonts w:ascii="Calibri" w:hAnsi="Calibri" w:cs="Calibri"/>
          <w:b/>
          <w:bCs/>
          <w:color w:val="17365D" w:themeColor="text2" w:themeShade="BF"/>
          <w:sz w:val="22"/>
        </w:rPr>
        <w:t xml:space="preserve">, </w:t>
      </w:r>
      <w:r w:rsidR="001D0F03">
        <w:rPr>
          <w:rFonts w:ascii="Calibri" w:hAnsi="Calibri" w:cs="Calibri"/>
          <w:b/>
          <w:bCs/>
          <w:color w:val="17365D" w:themeColor="text2" w:themeShade="BF"/>
          <w:sz w:val="22"/>
        </w:rPr>
        <w:t>2024</w:t>
      </w:r>
      <w:r w:rsidRPr="007B5197">
        <w:rPr>
          <w:rFonts w:ascii="Calibri" w:hAnsi="Calibri" w:cs="Calibri"/>
          <w:b/>
          <w:bCs/>
          <w:color w:val="17365D" w:themeColor="text2" w:themeShade="BF"/>
          <w:sz w:val="22"/>
        </w:rPr>
        <w:t>:</w:t>
      </w:r>
      <w:r w:rsidRPr="007B5197">
        <w:rPr>
          <w:rFonts w:ascii="Calibri" w:hAnsi="Calibri" w:cs="Calibri"/>
          <w:color w:val="17365D" w:themeColor="text2" w:themeShade="BF"/>
          <w:sz w:val="22"/>
        </w:rPr>
        <w:t xml:space="preserve"> Candidates who receive a negative recommendation from UCPT and the Provost may:</w:t>
      </w:r>
    </w:p>
    <w:p w14:paraId="4831670A" w14:textId="77777777" w:rsidR="00D137F8" w:rsidRPr="007B5197" w:rsidRDefault="00D137F8" w:rsidP="00D137F8">
      <w:pPr>
        <w:pStyle w:val="ListParagraph"/>
        <w:spacing w:before="240" w:line="276" w:lineRule="auto"/>
        <w:rPr>
          <w:rFonts w:ascii="Calibri" w:hAnsi="Calibri" w:cs="Calibri"/>
          <w:color w:val="17365D" w:themeColor="text2" w:themeShade="BF"/>
          <w:sz w:val="8"/>
          <w:szCs w:val="8"/>
        </w:rPr>
      </w:pPr>
    </w:p>
    <w:p w14:paraId="401C616D" w14:textId="1C5C06B1" w:rsidR="00D137F8" w:rsidRPr="007B5197" w:rsidRDefault="00D137F8" w:rsidP="00552D20">
      <w:pPr>
        <w:pStyle w:val="ListParagraph"/>
        <w:numPr>
          <w:ilvl w:val="2"/>
          <w:numId w:val="4"/>
        </w:numPr>
        <w:spacing w:before="240" w:line="276" w:lineRule="auto"/>
        <w:rPr>
          <w:rFonts w:ascii="Calibri" w:hAnsi="Calibri" w:cs="Calibri"/>
          <w:color w:val="17365D" w:themeColor="text2" w:themeShade="BF"/>
          <w:sz w:val="22"/>
        </w:rPr>
      </w:pPr>
      <w:r w:rsidRPr="007B5197">
        <w:rPr>
          <w:rFonts w:ascii="Calibri" w:hAnsi="Calibri" w:cs="Calibri"/>
          <w:color w:val="17365D" w:themeColor="text2" w:themeShade="BF"/>
          <w:sz w:val="22"/>
        </w:rPr>
        <w:t>Submit a</w:t>
      </w:r>
      <w:r w:rsidRPr="007B5197">
        <w:rPr>
          <w:rFonts w:ascii="Calibri" w:hAnsi="Calibri" w:cs="Calibri"/>
          <w:b/>
          <w:bCs/>
          <w:i/>
          <w:iCs/>
          <w:color w:val="17365D" w:themeColor="text2" w:themeShade="BF"/>
          <w:sz w:val="22"/>
        </w:rPr>
        <w:t xml:space="preserve"> Candidate Response to Negative Recommendation from UCPT</w:t>
      </w:r>
      <w:r w:rsidRPr="007B5197">
        <w:rPr>
          <w:rFonts w:ascii="Calibri" w:hAnsi="Calibri" w:cs="Calibri"/>
          <w:color w:val="17365D" w:themeColor="text2" w:themeShade="BF"/>
          <w:sz w:val="22"/>
        </w:rPr>
        <w:t xml:space="preserve"> form for consideration by the Chancellor, due in Provost Office by 5 p.m.  </w:t>
      </w:r>
      <w:r w:rsidRPr="007B5197">
        <w:rPr>
          <w:rFonts w:ascii="Calibri" w:hAnsi="Calibri" w:cs="Calibri"/>
          <w:b/>
          <w:bCs/>
          <w:color w:val="17365D" w:themeColor="text2" w:themeShade="BF"/>
          <w:szCs w:val="28"/>
        </w:rPr>
        <w:t>or</w:t>
      </w:r>
    </w:p>
    <w:p w14:paraId="3099D11E" w14:textId="78822809" w:rsidR="00D137F8" w:rsidRPr="007B5197" w:rsidRDefault="00D137F8" w:rsidP="00552D20">
      <w:pPr>
        <w:pStyle w:val="ListParagraph"/>
        <w:numPr>
          <w:ilvl w:val="2"/>
          <w:numId w:val="4"/>
        </w:numPr>
        <w:spacing w:before="240" w:line="276" w:lineRule="auto"/>
        <w:rPr>
          <w:rFonts w:ascii="Calibri" w:hAnsi="Calibri" w:cs="Calibri"/>
          <w:color w:val="17365D" w:themeColor="text2" w:themeShade="BF"/>
          <w:sz w:val="22"/>
        </w:rPr>
      </w:pPr>
      <w:r w:rsidRPr="007B5197">
        <w:rPr>
          <w:rFonts w:ascii="Calibri" w:hAnsi="Calibri" w:cs="Calibri"/>
          <w:color w:val="17365D" w:themeColor="text2" w:themeShade="BF"/>
          <w:sz w:val="22"/>
        </w:rPr>
        <w:t>Submit an appeal of the recommendation to the Faculty Rights Board, due in the Faculty Governance office by 5 p.m.</w:t>
      </w:r>
    </w:p>
    <w:p w14:paraId="13060A3C" w14:textId="4254D37F" w:rsidR="00857765" w:rsidRPr="007B5197" w:rsidRDefault="00D137F8" w:rsidP="00857765">
      <w:pPr>
        <w:spacing w:line="276" w:lineRule="auto"/>
        <w:rPr>
          <w:rFonts w:ascii="Calibri" w:hAnsi="Calibri" w:cs="Calibri"/>
          <w:b/>
          <w:bCs/>
          <w:color w:val="17365D" w:themeColor="text2" w:themeShade="BF"/>
          <w:sz w:val="22"/>
        </w:rPr>
      </w:pPr>
      <w:r w:rsidRPr="007B5197">
        <w:rPr>
          <w:rFonts w:ascii="Calibri" w:hAnsi="Calibri" w:cs="Calibri"/>
          <w:b/>
          <w:bCs/>
          <w:color w:val="17365D" w:themeColor="text2" w:themeShade="BF"/>
          <w:sz w:val="22"/>
        </w:rPr>
        <w:lastRenderedPageBreak/>
        <w:t>April</w:t>
      </w:r>
    </w:p>
    <w:p w14:paraId="2BB48330" w14:textId="125C19BA" w:rsidR="00AB623C" w:rsidRPr="007B5197" w:rsidRDefault="00857765" w:rsidP="00552D20">
      <w:pPr>
        <w:pStyle w:val="ListParagraph"/>
        <w:numPr>
          <w:ilvl w:val="0"/>
          <w:numId w:val="5"/>
        </w:numPr>
        <w:spacing w:before="240" w:line="276" w:lineRule="auto"/>
        <w:rPr>
          <w:rFonts w:ascii="Calibri" w:hAnsi="Calibri" w:cs="Calibri"/>
          <w:color w:val="17365D" w:themeColor="text2" w:themeShade="BF"/>
          <w:sz w:val="22"/>
        </w:rPr>
      </w:pPr>
      <w:r w:rsidRPr="007B5197">
        <w:rPr>
          <w:rFonts w:ascii="Calibri" w:hAnsi="Calibri" w:cs="Calibri"/>
          <w:color w:val="17365D" w:themeColor="text2" w:themeShade="BF"/>
          <w:sz w:val="22"/>
        </w:rPr>
        <w:t>Candidates receive final notification of the Chancellor’s decision on the promotion and tenure recommendations from UCPT through email.</w:t>
      </w:r>
    </w:p>
    <w:p w14:paraId="4643A9AB" w14:textId="468FE125" w:rsidR="001509B5" w:rsidRPr="00645B49" w:rsidRDefault="00BE2A1E" w:rsidP="001509B5">
      <w:pPr>
        <w:pStyle w:val="Heading2"/>
        <w:shd w:val="clear" w:color="auto" w:fill="244061" w:themeFill="accent1" w:themeFillShade="80"/>
        <w:rPr>
          <w:rFonts w:ascii="Gadugi" w:hAnsi="Gadugi"/>
          <w:szCs w:val="22"/>
        </w:rPr>
      </w:pPr>
      <w:r>
        <w:rPr>
          <w:rFonts w:ascii="Gadugi" w:hAnsi="Gadugi"/>
          <w:szCs w:val="22"/>
        </w:rPr>
        <w:t>Tenure Clock Reminders</w:t>
      </w:r>
    </w:p>
    <w:p w14:paraId="1721B8BC" w14:textId="370B9B04" w:rsidR="001509B5" w:rsidRDefault="001509B5" w:rsidP="00552D20">
      <w:pPr>
        <w:pStyle w:val="ListParagraph"/>
        <w:numPr>
          <w:ilvl w:val="0"/>
          <w:numId w:val="6"/>
        </w:numPr>
        <w:spacing w:before="240"/>
        <w:rPr>
          <w:rFonts w:ascii="Calibri" w:hAnsi="Calibri" w:cs="Calibri"/>
          <w:color w:val="17365D" w:themeColor="text2" w:themeShade="BF"/>
          <w:sz w:val="22"/>
        </w:rPr>
      </w:pPr>
      <w:r w:rsidRPr="001509B5">
        <w:rPr>
          <w:rFonts w:ascii="Calibri" w:hAnsi="Calibri" w:cs="Calibri"/>
          <w:b/>
          <w:bCs/>
          <w:color w:val="17365D" w:themeColor="text2" w:themeShade="BF"/>
          <w:sz w:val="22"/>
        </w:rPr>
        <w:t xml:space="preserve">KBOR extension </w:t>
      </w:r>
      <w:r w:rsidRPr="001509B5">
        <w:rPr>
          <w:rFonts w:ascii="Calibri" w:hAnsi="Calibri" w:cs="Calibri"/>
          <w:color w:val="17365D" w:themeColor="text2" w:themeShade="BF"/>
          <w:sz w:val="22"/>
        </w:rPr>
        <w:t xml:space="preserve">– All tenure-track faculty who were in their probationary period during the Spring 2020 </w:t>
      </w:r>
      <w:r w:rsidR="000C76C1">
        <w:rPr>
          <w:rFonts w:ascii="Calibri" w:hAnsi="Calibri" w:cs="Calibri"/>
          <w:color w:val="17365D" w:themeColor="text2" w:themeShade="BF"/>
          <w:sz w:val="22"/>
        </w:rPr>
        <w:t xml:space="preserve">or began their appointments at KU in Fall 2020 </w:t>
      </w:r>
      <w:r w:rsidRPr="001509B5">
        <w:rPr>
          <w:rFonts w:ascii="Calibri" w:hAnsi="Calibri" w:cs="Calibri"/>
          <w:color w:val="17365D" w:themeColor="text2" w:themeShade="BF"/>
          <w:sz w:val="22"/>
        </w:rPr>
        <w:t>had their tenure clocks automatically extended by one year. At their choosing, faculty can go through the P&amp;T process on their original schedule. This extension does not count as one of the two extensions allowed under KBOR policy</w:t>
      </w:r>
      <w:r w:rsidR="00B52AA0">
        <w:rPr>
          <w:rFonts w:ascii="Calibri" w:hAnsi="Calibri" w:cs="Calibri"/>
          <w:color w:val="17365D" w:themeColor="text2" w:themeShade="BF"/>
          <w:sz w:val="22"/>
        </w:rPr>
        <w:t xml:space="preserve"> for birth/adoption of a child or other extenuating circumstances</w:t>
      </w:r>
      <w:r w:rsidRPr="001509B5">
        <w:rPr>
          <w:rFonts w:ascii="Calibri" w:hAnsi="Calibri" w:cs="Calibri"/>
          <w:color w:val="17365D" w:themeColor="text2" w:themeShade="BF"/>
          <w:sz w:val="22"/>
        </w:rPr>
        <w:t>.</w:t>
      </w:r>
    </w:p>
    <w:p w14:paraId="2285FD52" w14:textId="77777777" w:rsidR="00BE2A1E" w:rsidRPr="00BE2A1E" w:rsidRDefault="00BE2A1E" w:rsidP="00BE2A1E">
      <w:pPr>
        <w:pStyle w:val="ListParagraph"/>
        <w:spacing w:before="240"/>
        <w:rPr>
          <w:rFonts w:ascii="Calibri" w:hAnsi="Calibri" w:cs="Calibri"/>
          <w:color w:val="17365D" w:themeColor="text2" w:themeShade="BF"/>
          <w:sz w:val="10"/>
          <w:szCs w:val="12"/>
        </w:rPr>
      </w:pPr>
    </w:p>
    <w:p w14:paraId="21873945" w14:textId="25F426AA" w:rsidR="001509B5" w:rsidRDefault="001509B5" w:rsidP="00552D20">
      <w:pPr>
        <w:pStyle w:val="ListParagraph"/>
        <w:numPr>
          <w:ilvl w:val="0"/>
          <w:numId w:val="6"/>
        </w:numPr>
        <w:rPr>
          <w:rFonts w:ascii="Calibri" w:hAnsi="Calibri" w:cs="Calibri"/>
          <w:color w:val="17365D" w:themeColor="text2" w:themeShade="BF"/>
          <w:sz w:val="22"/>
        </w:rPr>
      </w:pPr>
      <w:r w:rsidRPr="001509B5">
        <w:rPr>
          <w:rFonts w:ascii="Calibri" w:hAnsi="Calibri" w:cs="Calibri"/>
          <w:b/>
          <w:bCs/>
          <w:color w:val="17365D" w:themeColor="text2" w:themeShade="BF"/>
          <w:sz w:val="22"/>
        </w:rPr>
        <w:t>Other extensions to the tenure clock</w:t>
      </w:r>
      <w:r w:rsidRPr="001509B5">
        <w:rPr>
          <w:rFonts w:ascii="Calibri" w:hAnsi="Calibri" w:cs="Calibri"/>
          <w:color w:val="17365D" w:themeColor="text2" w:themeShade="BF"/>
          <w:sz w:val="22"/>
        </w:rPr>
        <w:t xml:space="preserve"> - Untenured faculty members in tenure-track appointments who have not yet entered the mandatory review may interrupt the tenure clock under the </w:t>
      </w:r>
      <w:hyperlink r:id="rId12" w:history="1">
        <w:r w:rsidRPr="00B52AA0">
          <w:rPr>
            <w:rFonts w:ascii="Calibri" w:hAnsi="Calibri" w:cs="Calibri"/>
            <w:color w:val="17365D" w:themeColor="text2" w:themeShade="BF"/>
            <w:sz w:val="22"/>
            <w:u w:val="single"/>
          </w:rPr>
          <w:t>interruption of the tenure clock policy</w:t>
        </w:r>
      </w:hyperlink>
      <w:r w:rsidRPr="001509B5">
        <w:rPr>
          <w:rFonts w:ascii="Calibri" w:hAnsi="Calibri" w:cs="Calibri"/>
          <w:color w:val="17365D" w:themeColor="text2" w:themeShade="BF"/>
          <w:sz w:val="22"/>
        </w:rPr>
        <w:t xml:space="preserve">. Significant COVID-19 impacts continue, and the deadline for submitting a request to interrupt the tenure clock has been temporarily extended. A request for such an extension may be granted by the </w:t>
      </w:r>
      <w:proofErr w:type="gramStart"/>
      <w:r w:rsidRPr="001509B5">
        <w:rPr>
          <w:rFonts w:ascii="Calibri" w:hAnsi="Calibri" w:cs="Calibri"/>
          <w:color w:val="17365D" w:themeColor="text2" w:themeShade="BF"/>
          <w:sz w:val="22"/>
        </w:rPr>
        <w:t>Provost</w:t>
      </w:r>
      <w:proofErr w:type="gramEnd"/>
      <w:r w:rsidRPr="001509B5">
        <w:rPr>
          <w:rFonts w:ascii="Calibri" w:hAnsi="Calibri" w:cs="Calibri"/>
          <w:color w:val="17365D" w:themeColor="text2" w:themeShade="BF"/>
          <w:sz w:val="22"/>
        </w:rPr>
        <w:t xml:space="preserve"> upon written request of the faculty member and/or appropriate dean. Requests must be received by the </w:t>
      </w:r>
      <w:proofErr w:type="gramStart"/>
      <w:r w:rsidRPr="001509B5">
        <w:rPr>
          <w:rFonts w:ascii="Calibri" w:hAnsi="Calibri" w:cs="Calibri"/>
          <w:color w:val="17365D" w:themeColor="text2" w:themeShade="BF"/>
          <w:sz w:val="22"/>
        </w:rPr>
        <w:t>Provost</w:t>
      </w:r>
      <w:proofErr w:type="gramEnd"/>
      <w:r w:rsidRPr="001509B5">
        <w:rPr>
          <w:rFonts w:ascii="Calibri" w:hAnsi="Calibri" w:cs="Calibri"/>
          <w:color w:val="17365D" w:themeColor="text2" w:themeShade="BF"/>
          <w:sz w:val="22"/>
        </w:rPr>
        <w:t xml:space="preserve"> no later than May 31, 202</w:t>
      </w:r>
      <w:r w:rsidR="001D0F03">
        <w:rPr>
          <w:rFonts w:ascii="Calibri" w:hAnsi="Calibri" w:cs="Calibri"/>
          <w:color w:val="17365D" w:themeColor="text2" w:themeShade="BF"/>
          <w:sz w:val="22"/>
        </w:rPr>
        <w:t>3</w:t>
      </w:r>
      <w:r w:rsidRPr="001509B5">
        <w:rPr>
          <w:rFonts w:ascii="Calibri" w:hAnsi="Calibri" w:cs="Calibri"/>
          <w:color w:val="17365D" w:themeColor="text2" w:themeShade="BF"/>
          <w:sz w:val="22"/>
        </w:rPr>
        <w:t>, for those whose mandatory review year is 2021-</w:t>
      </w:r>
      <w:r w:rsidR="001D0F03">
        <w:rPr>
          <w:rFonts w:ascii="Calibri" w:hAnsi="Calibri" w:cs="Calibri"/>
          <w:color w:val="17365D" w:themeColor="text2" w:themeShade="BF"/>
          <w:sz w:val="22"/>
        </w:rPr>
        <w:t>2023</w:t>
      </w:r>
      <w:r w:rsidRPr="001509B5">
        <w:rPr>
          <w:rFonts w:ascii="Calibri" w:hAnsi="Calibri" w:cs="Calibri"/>
          <w:color w:val="17365D" w:themeColor="text2" w:themeShade="BF"/>
          <w:sz w:val="22"/>
        </w:rPr>
        <w:t>.</w:t>
      </w:r>
    </w:p>
    <w:p w14:paraId="7DEFDB37" w14:textId="77777777" w:rsidR="00BE2A1E" w:rsidRPr="00BE2A1E" w:rsidRDefault="00BE2A1E" w:rsidP="00BE2A1E">
      <w:pPr>
        <w:pStyle w:val="ListParagraph"/>
        <w:ind w:left="2160"/>
        <w:rPr>
          <w:rFonts w:ascii="Calibri" w:hAnsi="Calibri" w:cs="Calibri"/>
          <w:color w:val="17365D" w:themeColor="text2" w:themeShade="BF"/>
          <w:sz w:val="8"/>
          <w:szCs w:val="8"/>
        </w:rPr>
      </w:pPr>
    </w:p>
    <w:p w14:paraId="0982ED64" w14:textId="517843FD" w:rsidR="00BE2A1E" w:rsidRPr="00645B49" w:rsidRDefault="00BE2A1E" w:rsidP="00BE2A1E">
      <w:pPr>
        <w:pStyle w:val="Heading2"/>
        <w:shd w:val="clear" w:color="auto" w:fill="244061" w:themeFill="accent1" w:themeFillShade="80"/>
        <w:rPr>
          <w:rFonts w:ascii="Gadugi" w:hAnsi="Gadugi"/>
          <w:szCs w:val="22"/>
        </w:rPr>
      </w:pPr>
      <w:r>
        <w:rPr>
          <w:rFonts w:ascii="Gadugi" w:hAnsi="Gadugi"/>
          <w:szCs w:val="22"/>
        </w:rPr>
        <w:t>External Reviewers</w:t>
      </w:r>
    </w:p>
    <w:p w14:paraId="514F7233" w14:textId="77777777" w:rsidR="005C332D" w:rsidRDefault="00BE2A1E" w:rsidP="00BE2A1E">
      <w:pPr>
        <w:spacing w:before="240" w:after="240" w:line="276" w:lineRule="auto"/>
        <w:rPr>
          <w:rFonts w:ascii="Calibri" w:hAnsi="Calibri" w:cs="Calibri"/>
          <w:color w:val="17365D" w:themeColor="text2" w:themeShade="BF"/>
          <w:sz w:val="22"/>
        </w:rPr>
      </w:pPr>
      <w:r>
        <w:rPr>
          <w:rFonts w:ascii="Calibri" w:hAnsi="Calibri" w:cs="Calibri"/>
          <w:color w:val="17365D" w:themeColor="text2" w:themeShade="BF"/>
          <w:sz w:val="22"/>
        </w:rPr>
        <w:t xml:space="preserve">Are you or your unit still working to find a suitable list of external reviewers to invite to write evaluations? </w:t>
      </w:r>
    </w:p>
    <w:p w14:paraId="082A3711" w14:textId="77777777" w:rsidR="005C332D" w:rsidRDefault="00BE2A1E" w:rsidP="00BE2A1E">
      <w:pPr>
        <w:spacing w:before="240" w:after="240" w:line="276" w:lineRule="auto"/>
        <w:rPr>
          <w:rFonts w:ascii="Calibri" w:hAnsi="Calibri" w:cs="Calibri"/>
          <w:color w:val="17365D" w:themeColor="text2" w:themeShade="BF"/>
          <w:sz w:val="22"/>
        </w:rPr>
      </w:pPr>
      <w:r>
        <w:rPr>
          <w:rFonts w:ascii="Calibri" w:hAnsi="Calibri" w:cs="Calibri"/>
          <w:color w:val="17365D" w:themeColor="text2" w:themeShade="BF"/>
          <w:sz w:val="22"/>
        </w:rPr>
        <w:t>Our Faculty Insight tool from Academic Analytics has a feature called "related terms and people" in each faculty member's profile that lists academics who may match with a faculty member's expertise. Some have found this useful in thinking about their reviewer lists</w:t>
      </w:r>
      <w:r w:rsidR="00BE2850">
        <w:rPr>
          <w:rFonts w:ascii="Calibri" w:hAnsi="Calibri" w:cs="Calibri"/>
          <w:color w:val="17365D" w:themeColor="text2" w:themeShade="BF"/>
          <w:sz w:val="22"/>
        </w:rPr>
        <w:t xml:space="preserve">. </w:t>
      </w:r>
    </w:p>
    <w:p w14:paraId="7D8D29A0" w14:textId="6FDCE42B" w:rsidR="00BE2A1E" w:rsidRDefault="00BE2850" w:rsidP="00BE2A1E">
      <w:pPr>
        <w:spacing w:before="240" w:after="240" w:line="276" w:lineRule="auto"/>
        <w:rPr>
          <w:rFonts w:ascii="Calibri" w:hAnsi="Calibri" w:cs="Calibri"/>
          <w:color w:val="17365D" w:themeColor="text2" w:themeShade="BF"/>
          <w:sz w:val="22"/>
        </w:rPr>
      </w:pPr>
      <w:r>
        <w:rPr>
          <w:rFonts w:ascii="Calibri" w:hAnsi="Calibri" w:cs="Calibri"/>
          <w:color w:val="17365D" w:themeColor="text2" w:themeShade="BF"/>
          <w:sz w:val="22"/>
        </w:rPr>
        <w:t xml:space="preserve">The link to Faculty Insight is available under “Login Links” on </w:t>
      </w:r>
      <w:hyperlink r:id="rId13" w:history="1">
        <w:r w:rsidRPr="00BE2850">
          <w:rPr>
            <w:rStyle w:val="Hyperlink"/>
            <w:rFonts w:ascii="Calibri" w:hAnsi="Calibri" w:cs="Calibri"/>
            <w:sz w:val="22"/>
          </w:rPr>
          <w:t>Academic Analytics page</w:t>
        </w:r>
      </w:hyperlink>
      <w:r>
        <w:rPr>
          <w:rFonts w:ascii="Calibri" w:hAnsi="Calibri" w:cs="Calibri"/>
          <w:color w:val="17365D" w:themeColor="text2" w:themeShade="BF"/>
          <w:sz w:val="22"/>
        </w:rPr>
        <w:t xml:space="preserve"> of the AIRE website.</w:t>
      </w:r>
      <w:r w:rsidR="00BE2A1E">
        <w:rPr>
          <w:rFonts w:ascii="Calibri" w:hAnsi="Calibri" w:cs="Calibri"/>
          <w:color w:val="17365D" w:themeColor="text2" w:themeShade="BF"/>
          <w:sz w:val="22"/>
        </w:rPr>
        <w:t xml:space="preserve"> </w:t>
      </w:r>
    </w:p>
    <w:p w14:paraId="5A9D9AF1" w14:textId="147669D0" w:rsidR="001509B5" w:rsidRPr="00BE2A1E" w:rsidRDefault="00BE2A1E" w:rsidP="00530D16">
      <w:pPr>
        <w:pStyle w:val="Heading2"/>
        <w:shd w:val="clear" w:color="auto" w:fill="244061" w:themeFill="accent1" w:themeFillShade="80"/>
        <w:spacing w:before="0"/>
        <w:rPr>
          <w:rFonts w:ascii="Gadugi" w:hAnsi="Gadugi"/>
          <w:szCs w:val="22"/>
        </w:rPr>
      </w:pPr>
      <w:r>
        <w:rPr>
          <w:rFonts w:ascii="Gadugi" w:hAnsi="Gadugi"/>
          <w:szCs w:val="22"/>
        </w:rPr>
        <w:t>Documenting Teaching Effectiveness</w:t>
      </w:r>
    </w:p>
    <w:p w14:paraId="5F83BD95" w14:textId="3146E254" w:rsidR="001509B5" w:rsidRDefault="001509B5" w:rsidP="00552D20">
      <w:pPr>
        <w:pStyle w:val="ListParagraph"/>
        <w:numPr>
          <w:ilvl w:val="0"/>
          <w:numId w:val="8"/>
        </w:numPr>
        <w:spacing w:before="240" w:line="276" w:lineRule="auto"/>
        <w:rPr>
          <w:rFonts w:ascii="Calibri" w:hAnsi="Calibri" w:cs="Calibri"/>
          <w:b/>
          <w:bCs/>
          <w:color w:val="17365D" w:themeColor="text2" w:themeShade="BF"/>
          <w:sz w:val="22"/>
        </w:rPr>
      </w:pPr>
      <w:r>
        <w:rPr>
          <w:rFonts w:ascii="Calibri" w:hAnsi="Calibri" w:cs="Calibri"/>
          <w:b/>
          <w:bCs/>
          <w:color w:val="17365D" w:themeColor="text2" w:themeShade="BF"/>
          <w:sz w:val="22"/>
        </w:rPr>
        <w:t>Reports from the student survey of teaching</w:t>
      </w:r>
    </w:p>
    <w:p w14:paraId="07658BDB" w14:textId="2F2420B5" w:rsidR="001509B5" w:rsidRPr="00BE2A1E" w:rsidRDefault="001509B5" w:rsidP="00552D20">
      <w:pPr>
        <w:pStyle w:val="ListParagraph"/>
        <w:numPr>
          <w:ilvl w:val="1"/>
          <w:numId w:val="8"/>
        </w:numPr>
        <w:spacing w:before="240" w:line="276" w:lineRule="auto"/>
        <w:rPr>
          <w:rFonts w:ascii="Calibri" w:hAnsi="Calibri" w:cs="Calibri"/>
          <w:b/>
          <w:bCs/>
          <w:color w:val="17365D" w:themeColor="text2" w:themeShade="BF"/>
          <w:sz w:val="22"/>
        </w:rPr>
      </w:pPr>
      <w:r>
        <w:rPr>
          <w:rFonts w:ascii="Calibri" w:hAnsi="Calibri" w:cs="Calibri"/>
          <w:color w:val="17365D" w:themeColor="text2" w:themeShade="BF"/>
          <w:sz w:val="22"/>
        </w:rPr>
        <w:t>Optional to include in your dossier from Spring 2020 – Summer 2021</w:t>
      </w:r>
    </w:p>
    <w:p w14:paraId="18078F8E" w14:textId="77777777" w:rsidR="00BE2A1E" w:rsidRPr="00BE2A1E" w:rsidRDefault="00BE2A1E" w:rsidP="00BE2A1E">
      <w:pPr>
        <w:pStyle w:val="ListParagraph"/>
        <w:spacing w:before="240" w:line="276" w:lineRule="auto"/>
        <w:ind w:left="1440"/>
        <w:rPr>
          <w:rFonts w:ascii="Calibri" w:hAnsi="Calibri" w:cs="Calibri"/>
          <w:b/>
          <w:bCs/>
          <w:color w:val="17365D" w:themeColor="text2" w:themeShade="BF"/>
          <w:sz w:val="8"/>
          <w:szCs w:val="8"/>
        </w:rPr>
      </w:pPr>
    </w:p>
    <w:p w14:paraId="36B71E5C" w14:textId="26F2FF4A" w:rsidR="00B52AA0" w:rsidRPr="005C332D" w:rsidRDefault="001509B5" w:rsidP="005C332D">
      <w:pPr>
        <w:pStyle w:val="ListParagraph"/>
        <w:numPr>
          <w:ilvl w:val="0"/>
          <w:numId w:val="8"/>
        </w:numPr>
        <w:spacing w:before="240" w:after="240" w:line="276" w:lineRule="auto"/>
        <w:rPr>
          <w:rFonts w:ascii="Calibri" w:hAnsi="Calibri" w:cs="Calibri"/>
          <w:b/>
          <w:bCs/>
          <w:color w:val="17365D" w:themeColor="text2" w:themeShade="BF"/>
          <w:sz w:val="22"/>
        </w:rPr>
      </w:pPr>
      <w:r w:rsidRPr="00B52AA0">
        <w:rPr>
          <w:rFonts w:ascii="Calibri" w:hAnsi="Calibri" w:cs="Calibri"/>
          <w:b/>
          <w:bCs/>
          <w:color w:val="17365D" w:themeColor="text2" w:themeShade="BF"/>
          <w:sz w:val="22"/>
        </w:rPr>
        <w:t xml:space="preserve">How can faculty document teaching effectiveness, and how can P&amp;T committees </w:t>
      </w:r>
      <w:r w:rsidR="00B52AA0" w:rsidRPr="00B52AA0">
        <w:rPr>
          <w:rFonts w:ascii="Calibri" w:hAnsi="Calibri" w:cs="Calibri"/>
          <w:b/>
          <w:bCs/>
          <w:color w:val="17365D" w:themeColor="text2" w:themeShade="BF"/>
          <w:sz w:val="22"/>
        </w:rPr>
        <w:t xml:space="preserve">evaluate teaching effectiveness </w:t>
      </w:r>
      <w:r w:rsidRPr="00B52AA0">
        <w:rPr>
          <w:rFonts w:ascii="Calibri" w:hAnsi="Calibri" w:cs="Calibri"/>
          <w:b/>
          <w:bCs/>
          <w:color w:val="17365D" w:themeColor="text2" w:themeShade="BF"/>
          <w:sz w:val="22"/>
        </w:rPr>
        <w:t>without student survey report</w:t>
      </w:r>
      <w:r w:rsidR="00B52AA0" w:rsidRPr="00B52AA0">
        <w:rPr>
          <w:rFonts w:ascii="Calibri" w:hAnsi="Calibri" w:cs="Calibri"/>
          <w:b/>
          <w:bCs/>
          <w:color w:val="17365D" w:themeColor="text2" w:themeShade="BF"/>
          <w:sz w:val="22"/>
        </w:rPr>
        <w:t>s</w:t>
      </w:r>
      <w:r w:rsidR="000C76C1">
        <w:rPr>
          <w:rFonts w:ascii="Calibri" w:hAnsi="Calibri" w:cs="Calibri"/>
          <w:b/>
          <w:bCs/>
          <w:color w:val="17365D" w:themeColor="text2" w:themeShade="BF"/>
          <w:sz w:val="22"/>
        </w:rPr>
        <w:t xml:space="preserve"> from Spring 2020 – Summer 2021</w:t>
      </w:r>
      <w:r w:rsidR="00B52AA0" w:rsidRPr="00B52AA0">
        <w:rPr>
          <w:rFonts w:ascii="Calibri" w:hAnsi="Calibri" w:cs="Calibri"/>
          <w:b/>
          <w:bCs/>
          <w:color w:val="17365D" w:themeColor="text2" w:themeShade="BF"/>
          <w:sz w:val="22"/>
        </w:rPr>
        <w:t>?</w:t>
      </w:r>
      <w:r w:rsidR="00B52AA0">
        <w:rPr>
          <w:rFonts w:ascii="Calibri" w:hAnsi="Calibri" w:cs="Calibri"/>
          <w:color w:val="17365D" w:themeColor="text2" w:themeShade="BF"/>
          <w:sz w:val="22"/>
        </w:rPr>
        <w:t xml:space="preserve"> </w:t>
      </w:r>
    </w:p>
    <w:p w14:paraId="533878E6" w14:textId="77777777" w:rsidR="005C332D" w:rsidRPr="005C332D" w:rsidRDefault="005C332D" w:rsidP="005C332D">
      <w:pPr>
        <w:pStyle w:val="ListParagraph"/>
        <w:spacing w:before="240" w:after="240" w:line="276" w:lineRule="auto"/>
        <w:rPr>
          <w:rFonts w:ascii="Calibri" w:hAnsi="Calibri" w:cs="Calibri"/>
          <w:b/>
          <w:bCs/>
          <w:color w:val="17365D" w:themeColor="text2" w:themeShade="BF"/>
          <w:sz w:val="2"/>
          <w:szCs w:val="4"/>
        </w:rPr>
      </w:pPr>
    </w:p>
    <w:p w14:paraId="71ABD7F5" w14:textId="77777777" w:rsidR="00B52AA0" w:rsidRPr="00B52AA0" w:rsidRDefault="00B52AA0" w:rsidP="00552D20">
      <w:pPr>
        <w:pStyle w:val="ListParagraph"/>
        <w:numPr>
          <w:ilvl w:val="1"/>
          <w:numId w:val="8"/>
        </w:numPr>
        <w:spacing w:before="240" w:line="276" w:lineRule="auto"/>
        <w:rPr>
          <w:rFonts w:ascii="Calibri" w:hAnsi="Calibri" w:cs="Calibri"/>
          <w:b/>
          <w:bCs/>
          <w:color w:val="17365D" w:themeColor="text2" w:themeShade="BF"/>
          <w:sz w:val="22"/>
        </w:rPr>
      </w:pPr>
      <w:r>
        <w:rPr>
          <w:rFonts w:ascii="Calibri" w:hAnsi="Calibri" w:cs="Calibri"/>
          <w:color w:val="17365D" w:themeColor="text2" w:themeShade="BF"/>
          <w:sz w:val="22"/>
        </w:rPr>
        <w:t xml:space="preserve">Our policies require that multiple sources of information be used to evaluate teaching. </w:t>
      </w:r>
    </w:p>
    <w:p w14:paraId="0FDF0946" w14:textId="77777777" w:rsidR="005C332D" w:rsidRPr="005C332D" w:rsidRDefault="00B52AA0" w:rsidP="00552D20">
      <w:pPr>
        <w:pStyle w:val="ListParagraph"/>
        <w:numPr>
          <w:ilvl w:val="1"/>
          <w:numId w:val="8"/>
        </w:numPr>
        <w:spacing w:before="240" w:line="276" w:lineRule="auto"/>
        <w:rPr>
          <w:rFonts w:ascii="Calibri" w:hAnsi="Calibri" w:cs="Calibri"/>
          <w:b/>
          <w:bCs/>
          <w:color w:val="17365D" w:themeColor="text2" w:themeShade="BF"/>
          <w:sz w:val="22"/>
        </w:rPr>
      </w:pPr>
      <w:r>
        <w:rPr>
          <w:rFonts w:ascii="Calibri" w:hAnsi="Calibri" w:cs="Calibri"/>
          <w:color w:val="17365D" w:themeColor="text2" w:themeShade="BF"/>
          <w:sz w:val="22"/>
        </w:rPr>
        <w:t>Please visit</w:t>
      </w:r>
      <w:r w:rsidR="00BE2850">
        <w:rPr>
          <w:rFonts w:ascii="Calibri" w:hAnsi="Calibri" w:cs="Calibri"/>
          <w:color w:val="17365D" w:themeColor="text2" w:themeShade="BF"/>
          <w:sz w:val="22"/>
        </w:rPr>
        <w:t xml:space="preserve"> these pages on CTE’s website for a wealth of information and guidance for best practices in documenting teaching effectiveness</w:t>
      </w:r>
      <w:r w:rsidR="00BE2850" w:rsidRPr="005C332D">
        <w:rPr>
          <w:rFonts w:ascii="Calibri" w:hAnsi="Calibri" w:cs="Calibri"/>
          <w:color w:val="17365D" w:themeColor="text2" w:themeShade="BF"/>
          <w:sz w:val="20"/>
          <w:szCs w:val="22"/>
        </w:rPr>
        <w:t xml:space="preserve">:  </w:t>
      </w:r>
    </w:p>
    <w:p w14:paraId="3F3C7EAB" w14:textId="77777777" w:rsidR="005C332D" w:rsidRPr="005C332D" w:rsidRDefault="001D0F03" w:rsidP="005C332D">
      <w:pPr>
        <w:pStyle w:val="ListParagraph"/>
        <w:numPr>
          <w:ilvl w:val="2"/>
          <w:numId w:val="8"/>
        </w:numPr>
        <w:spacing w:before="240" w:line="276" w:lineRule="auto"/>
        <w:rPr>
          <w:rStyle w:val="Hyperlink"/>
          <w:rFonts w:ascii="Calibri" w:hAnsi="Calibri" w:cs="Calibri"/>
          <w:b/>
          <w:bCs/>
          <w:color w:val="17365D" w:themeColor="text2" w:themeShade="BF"/>
          <w:sz w:val="22"/>
          <w:u w:val="none"/>
        </w:rPr>
      </w:pPr>
      <w:hyperlink r:id="rId14" w:history="1">
        <w:r w:rsidR="005C332D">
          <w:rPr>
            <w:rStyle w:val="Hyperlink"/>
            <w:rFonts w:ascii="Calibri" w:hAnsi="Calibri" w:cs="Calibri"/>
            <w:sz w:val="22"/>
            <w:szCs w:val="22"/>
          </w:rPr>
          <w:t>Representing and Evaluating Teaching</w:t>
        </w:r>
        <w:r w:rsidR="00BE2850" w:rsidRPr="005C332D">
          <w:rPr>
            <w:rStyle w:val="Hyperlink"/>
            <w:rFonts w:ascii="Calibri" w:hAnsi="Calibri" w:cs="Calibri"/>
            <w:sz w:val="22"/>
            <w:szCs w:val="22"/>
          </w:rPr>
          <w:t xml:space="preserve"> | Center for Teaching Excellence (ku.edu)</w:t>
        </w:r>
      </w:hyperlink>
    </w:p>
    <w:p w14:paraId="624F8F27" w14:textId="497D6BF6" w:rsidR="001509B5" w:rsidRPr="00176D64" w:rsidRDefault="001D0F03" w:rsidP="005C332D">
      <w:pPr>
        <w:pStyle w:val="ListParagraph"/>
        <w:numPr>
          <w:ilvl w:val="2"/>
          <w:numId w:val="8"/>
        </w:numPr>
        <w:spacing w:before="240" w:line="276" w:lineRule="auto"/>
        <w:rPr>
          <w:rFonts w:ascii="Calibri" w:hAnsi="Calibri" w:cs="Calibri"/>
          <w:b/>
          <w:bCs/>
          <w:color w:val="17365D" w:themeColor="text2" w:themeShade="BF"/>
          <w:sz w:val="22"/>
        </w:rPr>
      </w:pPr>
      <w:hyperlink r:id="rId15" w:history="1">
        <w:r w:rsidR="00B52AA0" w:rsidRPr="005C332D">
          <w:rPr>
            <w:rStyle w:val="Hyperlink"/>
            <w:rFonts w:ascii="Calibri" w:hAnsi="Calibri" w:cs="Calibri"/>
            <w:sz w:val="22"/>
            <w:szCs w:val="22"/>
          </w:rPr>
          <w:t>CTE's Benchmarks for Teaching Effectiveness website</w:t>
        </w:r>
      </w:hyperlink>
      <w:r w:rsidR="00B52AA0" w:rsidRPr="005C332D">
        <w:rPr>
          <w:rFonts w:ascii="Calibri" w:hAnsi="Calibri" w:cs="Calibri"/>
          <w:color w:val="17365D" w:themeColor="text2" w:themeShade="BF"/>
          <w:sz w:val="22"/>
          <w:szCs w:val="22"/>
        </w:rPr>
        <w:t xml:space="preserve"> </w:t>
      </w:r>
    </w:p>
    <w:p w14:paraId="19F11C5E" w14:textId="2F7A87BD" w:rsidR="00176D64" w:rsidRPr="00176D64" w:rsidRDefault="00176D64" w:rsidP="00176D64">
      <w:pPr>
        <w:rPr>
          <w:rFonts w:ascii="Calibri" w:hAnsi="Calibri" w:cs="Calibri"/>
          <w:color w:val="17365D" w:themeColor="text2" w:themeShade="BF"/>
          <w:sz w:val="22"/>
          <w:szCs w:val="22"/>
        </w:rPr>
      </w:pPr>
    </w:p>
    <w:p w14:paraId="6EEC335C" w14:textId="0A6EAEF4" w:rsidR="00BE2A1E" w:rsidRPr="00645B49" w:rsidRDefault="00BE2A1E" w:rsidP="00BE2A1E">
      <w:pPr>
        <w:pStyle w:val="Heading2"/>
        <w:shd w:val="clear" w:color="auto" w:fill="244061" w:themeFill="accent1" w:themeFillShade="80"/>
        <w:rPr>
          <w:rFonts w:ascii="Gadugi" w:hAnsi="Gadugi"/>
          <w:szCs w:val="22"/>
        </w:rPr>
      </w:pPr>
      <w:r>
        <w:rPr>
          <w:rFonts w:ascii="Gadugi" w:hAnsi="Gadugi"/>
          <w:szCs w:val="22"/>
        </w:rPr>
        <w:t>COVID-19 Impacts</w:t>
      </w:r>
    </w:p>
    <w:p w14:paraId="5F6D8FFF" w14:textId="46ADCC28" w:rsidR="00B52AA0" w:rsidRDefault="00B52AA0" w:rsidP="00BE2A1E">
      <w:pPr>
        <w:spacing w:before="240"/>
        <w:rPr>
          <w:rFonts w:ascii="Calibri" w:hAnsi="Calibri" w:cs="Calibri"/>
          <w:b/>
          <w:bCs/>
          <w:color w:val="17365D" w:themeColor="text2" w:themeShade="BF"/>
          <w:sz w:val="22"/>
        </w:rPr>
      </w:pPr>
      <w:r>
        <w:rPr>
          <w:rFonts w:ascii="Calibri" w:hAnsi="Calibri" w:cs="Calibri"/>
          <w:b/>
          <w:bCs/>
          <w:color w:val="17365D" w:themeColor="text2" w:themeShade="BF"/>
          <w:sz w:val="22"/>
        </w:rPr>
        <w:t>Guidelines on taking COVID-19 impacts into account in the P&amp;T process</w:t>
      </w:r>
    </w:p>
    <w:p w14:paraId="47C0B246" w14:textId="4683FCB3" w:rsidR="00B52AA0" w:rsidRDefault="00B52AA0" w:rsidP="001509B5">
      <w:pPr>
        <w:rPr>
          <w:rFonts w:ascii="Calibri" w:hAnsi="Calibri" w:cs="Calibri"/>
          <w:b/>
          <w:bCs/>
          <w:color w:val="17365D" w:themeColor="text2" w:themeShade="BF"/>
          <w:sz w:val="22"/>
        </w:rPr>
      </w:pPr>
    </w:p>
    <w:p w14:paraId="74C195D3" w14:textId="79E03E3F" w:rsid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We recognize that faculty work has been affected </w:t>
      </w:r>
      <w:r>
        <w:rPr>
          <w:rFonts w:ascii="Calibri" w:hAnsi="Calibri" w:cs="Calibri"/>
          <w:color w:val="17365D" w:themeColor="text2" w:themeShade="BF"/>
          <w:sz w:val="22"/>
        </w:rPr>
        <w:t>since Spring</w:t>
      </w:r>
      <w:r w:rsidR="00176D64">
        <w:rPr>
          <w:rFonts w:ascii="Calibri" w:hAnsi="Calibri" w:cs="Calibri"/>
          <w:color w:val="17365D" w:themeColor="text2" w:themeShade="BF"/>
          <w:sz w:val="22"/>
        </w:rPr>
        <w:t xml:space="preserve"> </w:t>
      </w:r>
      <w:r>
        <w:rPr>
          <w:rFonts w:ascii="Calibri" w:hAnsi="Calibri" w:cs="Calibri"/>
          <w:color w:val="17365D" w:themeColor="text2" w:themeShade="BF"/>
          <w:sz w:val="22"/>
        </w:rPr>
        <w:t>2020</w:t>
      </w:r>
      <w:r w:rsidRPr="00B52AA0">
        <w:rPr>
          <w:rFonts w:ascii="Calibri" w:hAnsi="Calibri" w:cs="Calibri"/>
          <w:color w:val="17365D" w:themeColor="text2" w:themeShade="BF"/>
          <w:sz w:val="22"/>
        </w:rPr>
        <w:t xml:space="preserve"> by COVID-19 disruptions:</w:t>
      </w:r>
    </w:p>
    <w:p w14:paraId="2AC1022E" w14:textId="77777777" w:rsidR="00176D64" w:rsidRPr="00176D64" w:rsidRDefault="00176D64" w:rsidP="00B52AA0">
      <w:pPr>
        <w:pStyle w:val="paragraph"/>
        <w:spacing w:before="0" w:beforeAutospacing="0" w:after="0" w:afterAutospacing="0"/>
        <w:textAlignment w:val="baseline"/>
        <w:rPr>
          <w:rFonts w:ascii="Calibri" w:hAnsi="Calibri" w:cs="Calibri"/>
          <w:color w:val="17365D" w:themeColor="text2" w:themeShade="BF"/>
          <w:sz w:val="12"/>
          <w:szCs w:val="14"/>
        </w:rPr>
      </w:pPr>
    </w:p>
    <w:p w14:paraId="419DB48A" w14:textId="77777777" w:rsidR="00B52AA0" w:rsidRPr="00B52AA0" w:rsidRDefault="00B52AA0" w:rsidP="00552D20">
      <w:pPr>
        <w:pStyle w:val="paragraph"/>
        <w:numPr>
          <w:ilvl w:val="0"/>
          <w:numId w:val="9"/>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As individuals, we experienced the impacts in different ways.</w:t>
      </w:r>
    </w:p>
    <w:p w14:paraId="5A23F9C2" w14:textId="77777777" w:rsidR="00B52AA0" w:rsidRPr="00B52AA0" w:rsidRDefault="00B52AA0" w:rsidP="00552D20">
      <w:pPr>
        <w:pStyle w:val="paragraph"/>
        <w:numPr>
          <w:ilvl w:val="0"/>
          <w:numId w:val="9"/>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lastRenderedPageBreak/>
        <w:t>These impacts are not distributed evenly.</w:t>
      </w:r>
    </w:p>
    <w:p w14:paraId="31316956" w14:textId="77777777" w:rsidR="00B52AA0" w:rsidRPr="00B52AA0" w:rsidRDefault="00B52AA0" w:rsidP="00552D20">
      <w:pPr>
        <w:pStyle w:val="paragraph"/>
        <w:numPr>
          <w:ilvl w:val="0"/>
          <w:numId w:val="9"/>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We can't assume we know the impacts across our faculty. </w:t>
      </w:r>
    </w:p>
    <w:p w14:paraId="4FA2C442" w14:textId="3D84701F"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br/>
        <w:t xml:space="preserve">Therefore, as we move into the upcoming cycle for promotion and tenure, it is important to enable our faculty to document any impacts arising from the </w:t>
      </w:r>
      <w:r w:rsidR="00176D64" w:rsidRPr="00B52AA0">
        <w:rPr>
          <w:rFonts w:ascii="Calibri" w:hAnsi="Calibri" w:cs="Calibri"/>
          <w:color w:val="17365D" w:themeColor="text2" w:themeShade="BF"/>
          <w:sz w:val="22"/>
        </w:rPr>
        <w:t>pandemic and</w:t>
      </w:r>
      <w:r w:rsidRPr="00B52AA0">
        <w:rPr>
          <w:rFonts w:ascii="Calibri" w:hAnsi="Calibri" w:cs="Calibri"/>
          <w:color w:val="17365D" w:themeColor="text2" w:themeShade="BF"/>
          <w:sz w:val="22"/>
        </w:rPr>
        <w:t xml:space="preserve"> have review committee members document how they took those impacts into account in their evaluations. </w:t>
      </w:r>
    </w:p>
    <w:p w14:paraId="325004C6" w14:textId="77777777"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p>
    <w:p w14:paraId="42D3EFE1" w14:textId="131261C7"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Thus, all candidates have the option to address the impact of COVID-19 disruptions on their teaching, research/scholarship/creative or artistic work (hereafter, scholarship), service, and professional performance in their candidate statements for P&amp;T.  While not required, Faculty </w:t>
      </w:r>
      <w:r w:rsidR="001D0F03">
        <w:rPr>
          <w:rFonts w:ascii="Calibri" w:hAnsi="Calibri" w:cs="Calibri"/>
          <w:color w:val="17365D" w:themeColor="text2" w:themeShade="BF"/>
          <w:sz w:val="22"/>
        </w:rPr>
        <w:t>Affairs</w:t>
      </w:r>
      <w:r w:rsidRPr="00B52AA0">
        <w:rPr>
          <w:rFonts w:ascii="Calibri" w:hAnsi="Calibri" w:cs="Calibri"/>
          <w:color w:val="17365D" w:themeColor="text2" w:themeShade="BF"/>
          <w:sz w:val="22"/>
        </w:rPr>
        <w:t xml:space="preserve"> encourages candidates to supplement their candidate statements</w:t>
      </w:r>
      <w:r w:rsidR="00176D64">
        <w:rPr>
          <w:rFonts w:ascii="Calibri" w:hAnsi="Calibri" w:cs="Calibri"/>
          <w:color w:val="17365D" w:themeColor="text2" w:themeShade="BF"/>
          <w:sz w:val="22"/>
        </w:rPr>
        <w:t>,</w:t>
      </w:r>
      <w:r w:rsidRPr="00B52AA0">
        <w:rPr>
          <w:rFonts w:ascii="Calibri" w:hAnsi="Calibri" w:cs="Calibri"/>
          <w:color w:val="17365D" w:themeColor="text2" w:themeShade="BF"/>
          <w:sz w:val="22"/>
        </w:rPr>
        <w:t xml:space="preserve"> as applicable, given the challenges raised by COVID-19 disruptions, specifically:</w:t>
      </w:r>
    </w:p>
    <w:p w14:paraId="57A65D4F" w14:textId="77777777"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p>
    <w:p w14:paraId="24567FFC" w14:textId="77777777" w:rsidR="00B52AA0" w:rsidRPr="00B52AA0" w:rsidRDefault="00B52AA0" w:rsidP="00552D20">
      <w:pPr>
        <w:pStyle w:val="paragraph"/>
        <w:numPr>
          <w:ilvl w:val="0"/>
          <w:numId w:val="10"/>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It may be that some normally expected activities were simply not possible to accomplish or were drastically curtailed during the pandemic, especially, but not exclusively, in the area of scholarship. </w:t>
      </w:r>
    </w:p>
    <w:p w14:paraId="2578A9AF" w14:textId="77777777" w:rsidR="00B52AA0" w:rsidRPr="00B52AA0" w:rsidRDefault="00B52AA0" w:rsidP="00552D20">
      <w:pPr>
        <w:pStyle w:val="paragraph"/>
        <w:numPr>
          <w:ilvl w:val="0"/>
          <w:numId w:val="10"/>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The conditions of the pandemic may be directly related to a change in the pattern or types of activity faculty pursued in the face of the challenges. </w:t>
      </w:r>
    </w:p>
    <w:p w14:paraId="21126ED3" w14:textId="77777777"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p>
    <w:p w14:paraId="5B325CBB" w14:textId="04C6CE2D"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For privacy reasons, candidates should not share any personal circumstances in their statements, but rather focus on the impact to outcomes that they want to address. The inclusion of this supplemental information about the impacts of COVID-19 disruptions, will allow chairs, deans, and promotion and tenure committee members to carefully review faculty dossiers and conduct fair and contextual evaluations of whether, </w:t>
      </w:r>
      <w:r w:rsidR="00CC0DFB">
        <w:rPr>
          <w:rFonts w:ascii="Calibri" w:hAnsi="Calibri" w:cs="Calibri"/>
          <w:color w:val="17365D" w:themeColor="text2" w:themeShade="BF"/>
          <w:sz w:val="22"/>
        </w:rPr>
        <w:t xml:space="preserve">except </w:t>
      </w:r>
      <w:r w:rsidRPr="00B52AA0">
        <w:rPr>
          <w:rFonts w:ascii="Calibri" w:hAnsi="Calibri" w:cs="Calibri"/>
          <w:color w:val="17365D" w:themeColor="text2" w:themeShade="BF"/>
          <w:sz w:val="22"/>
        </w:rPr>
        <w:t>for COVID-19 disruptions, faculty are meeting our standards for P&amp;T (FSRR 6.2).</w:t>
      </w:r>
    </w:p>
    <w:p w14:paraId="361C6819" w14:textId="77777777" w:rsidR="00B52AA0" w:rsidRPr="00B52AA0" w:rsidRDefault="00B52AA0" w:rsidP="00B52AA0">
      <w:pPr>
        <w:pStyle w:val="paragraph"/>
        <w:spacing w:before="0" w:beforeAutospacing="0" w:after="0" w:afterAutospacing="0"/>
        <w:textAlignment w:val="baseline"/>
        <w:rPr>
          <w:rFonts w:ascii="Calibri" w:hAnsi="Calibri" w:cs="Calibri"/>
          <w:color w:val="17365D" w:themeColor="text2" w:themeShade="BF"/>
          <w:sz w:val="22"/>
        </w:rPr>
      </w:pPr>
    </w:p>
    <w:p w14:paraId="7AD24BB7" w14:textId="2DBE0100" w:rsidR="00B52AA0" w:rsidRPr="00B52AA0" w:rsidRDefault="001D0F03" w:rsidP="00B52AA0">
      <w:pPr>
        <w:pStyle w:val="paragraph"/>
        <w:spacing w:before="0" w:beforeAutospacing="0" w:after="0" w:afterAutospacing="0"/>
        <w:textAlignment w:val="baseline"/>
        <w:rPr>
          <w:rFonts w:ascii="Calibri" w:hAnsi="Calibri" w:cs="Calibri"/>
          <w:color w:val="17365D" w:themeColor="text2" w:themeShade="BF"/>
          <w:sz w:val="22"/>
        </w:rPr>
      </w:pPr>
      <w:hyperlink r:id="rId16" w:history="1">
        <w:r w:rsidR="00B52AA0" w:rsidRPr="00380143">
          <w:rPr>
            <w:rStyle w:val="Hyperlink"/>
            <w:rFonts w:ascii="Calibri" w:hAnsi="Calibri" w:cs="Calibri"/>
            <w:sz w:val="22"/>
          </w:rPr>
          <w:t>Complete guidance</w:t>
        </w:r>
      </w:hyperlink>
      <w:r w:rsidR="00B52AA0" w:rsidRPr="00B52AA0">
        <w:rPr>
          <w:rFonts w:ascii="Calibri" w:hAnsi="Calibri" w:cs="Calibri"/>
          <w:color w:val="17365D" w:themeColor="text2" w:themeShade="BF"/>
          <w:sz w:val="22"/>
        </w:rPr>
        <w:t xml:space="preserve"> </w:t>
      </w:r>
      <w:r w:rsidR="000C76C1">
        <w:rPr>
          <w:rFonts w:ascii="Calibri" w:hAnsi="Calibri" w:cs="Calibri"/>
          <w:color w:val="17365D" w:themeColor="text2" w:themeShade="BF"/>
          <w:sz w:val="22"/>
        </w:rPr>
        <w:t xml:space="preserve">is </w:t>
      </w:r>
      <w:r w:rsidR="00B52AA0" w:rsidRPr="00B52AA0">
        <w:rPr>
          <w:rFonts w:ascii="Calibri" w:hAnsi="Calibri" w:cs="Calibri"/>
          <w:color w:val="17365D" w:themeColor="text2" w:themeShade="BF"/>
          <w:sz w:val="22"/>
        </w:rPr>
        <w:t xml:space="preserve">posted on the Faculty </w:t>
      </w:r>
      <w:r w:rsidR="00380143">
        <w:rPr>
          <w:rFonts w:ascii="Calibri" w:hAnsi="Calibri" w:cs="Calibri"/>
          <w:color w:val="17365D" w:themeColor="text2" w:themeShade="BF"/>
          <w:sz w:val="22"/>
        </w:rPr>
        <w:t>Affairs</w:t>
      </w:r>
      <w:r w:rsidR="000C76C1">
        <w:rPr>
          <w:rFonts w:ascii="Calibri" w:hAnsi="Calibri" w:cs="Calibri"/>
          <w:color w:val="17365D" w:themeColor="text2" w:themeShade="BF"/>
          <w:sz w:val="22"/>
        </w:rPr>
        <w:t xml:space="preserve"> website</w:t>
      </w:r>
      <w:r w:rsidR="00B52AA0" w:rsidRPr="00B52AA0">
        <w:rPr>
          <w:rFonts w:ascii="Calibri" w:hAnsi="Calibri" w:cs="Calibri"/>
          <w:color w:val="17365D" w:themeColor="text2" w:themeShade="BF"/>
          <w:sz w:val="22"/>
        </w:rPr>
        <w:t>:</w:t>
      </w:r>
      <w:r w:rsidR="00B52AA0" w:rsidRPr="00B52AA0">
        <w:rPr>
          <w:rFonts w:ascii="Calibri" w:hAnsi="Calibri" w:cs="Calibri"/>
          <w:color w:val="17365D" w:themeColor="text2" w:themeShade="BF"/>
          <w:sz w:val="22"/>
        </w:rPr>
        <w:br/>
      </w:r>
    </w:p>
    <w:p w14:paraId="70AF9401" w14:textId="77777777" w:rsidR="00B52AA0" w:rsidRPr="00B52AA0" w:rsidRDefault="00B52AA0" w:rsidP="00552D20">
      <w:pPr>
        <w:pStyle w:val="paragraph"/>
        <w:numPr>
          <w:ilvl w:val="0"/>
          <w:numId w:val="11"/>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A non-exclusive list of some of the types of impacts faculty may want to address in their candidate statements.</w:t>
      </w:r>
      <w:r w:rsidRPr="00B52AA0" w:rsidDel="00712678">
        <w:rPr>
          <w:rFonts w:ascii="Calibri" w:hAnsi="Calibri" w:cs="Calibri"/>
          <w:color w:val="17365D" w:themeColor="text2" w:themeShade="BF"/>
          <w:sz w:val="22"/>
        </w:rPr>
        <w:t xml:space="preserve"> </w:t>
      </w:r>
    </w:p>
    <w:p w14:paraId="5789F4B3" w14:textId="6E6A6D69" w:rsidR="00B52AA0" w:rsidRPr="00BE2A1E" w:rsidRDefault="00B52AA0" w:rsidP="00552D20">
      <w:pPr>
        <w:pStyle w:val="paragraph"/>
        <w:numPr>
          <w:ilvl w:val="0"/>
          <w:numId w:val="11"/>
        </w:numPr>
        <w:spacing w:before="0" w:beforeAutospacing="0" w:after="0" w:afterAutospacing="0"/>
        <w:textAlignment w:val="baseline"/>
        <w:rPr>
          <w:rFonts w:ascii="Calibri" w:hAnsi="Calibri" w:cs="Calibri"/>
          <w:color w:val="17365D" w:themeColor="text2" w:themeShade="BF"/>
          <w:sz w:val="22"/>
        </w:rPr>
      </w:pPr>
      <w:r w:rsidRPr="00B52AA0">
        <w:rPr>
          <w:rFonts w:ascii="Calibri" w:hAnsi="Calibri" w:cs="Calibri"/>
          <w:color w:val="17365D" w:themeColor="text2" w:themeShade="BF"/>
          <w:sz w:val="22"/>
        </w:rPr>
        <w:t xml:space="preserve">How internal evaluators are expected to respond, in each evaluation section of the form (teaching, scholarship, service, professional performance), to any impacts from COVID-19 mentioned by candidates. </w:t>
      </w:r>
    </w:p>
    <w:p w14:paraId="4B9F278F" w14:textId="77777777" w:rsidR="00AB623C" w:rsidRPr="00645B49" w:rsidRDefault="00AB623C" w:rsidP="00601062">
      <w:pPr>
        <w:rPr>
          <w:rFonts w:ascii="Gadugi" w:hAnsi="Gadugi"/>
          <w:color w:val="17365D" w:themeColor="text2" w:themeShade="BF"/>
          <w:sz w:val="12"/>
          <w:szCs w:val="20"/>
        </w:rPr>
      </w:pPr>
    </w:p>
    <w:p w14:paraId="0D002926" w14:textId="77777777" w:rsidR="001509B5" w:rsidRPr="00645B49" w:rsidRDefault="001509B5" w:rsidP="001509B5">
      <w:pPr>
        <w:pStyle w:val="Heading2"/>
        <w:shd w:val="clear" w:color="auto" w:fill="244061" w:themeFill="accent1" w:themeFillShade="80"/>
        <w:rPr>
          <w:rFonts w:ascii="Gadugi" w:hAnsi="Gadugi"/>
          <w:szCs w:val="22"/>
        </w:rPr>
      </w:pPr>
      <w:r w:rsidRPr="00645B49">
        <w:rPr>
          <w:rFonts w:ascii="Gadugi" w:hAnsi="Gadugi"/>
          <w:szCs w:val="22"/>
        </w:rPr>
        <w:t>Questions</w:t>
      </w:r>
    </w:p>
    <w:p w14:paraId="07DDAA8E" w14:textId="77777777" w:rsidR="00601062" w:rsidRPr="00645B49" w:rsidRDefault="00601062" w:rsidP="00601062">
      <w:pPr>
        <w:rPr>
          <w:rFonts w:ascii="Gadugi" w:hAnsi="Gadugi"/>
          <w:color w:val="17365D" w:themeColor="text2" w:themeShade="BF"/>
          <w:sz w:val="10"/>
          <w:szCs w:val="20"/>
        </w:rPr>
      </w:pPr>
    </w:p>
    <w:p w14:paraId="3CC7CD63" w14:textId="25B18312" w:rsidR="00C14A6C" w:rsidRDefault="00601062" w:rsidP="00C14A6C">
      <w:pPr>
        <w:rPr>
          <w:rStyle w:val="Hyperlink"/>
          <w:rFonts w:ascii="Calibri" w:hAnsi="Calibri" w:cs="Calibri"/>
          <w:sz w:val="21"/>
          <w:szCs w:val="21"/>
        </w:rPr>
      </w:pPr>
      <w:r w:rsidRPr="009C3074">
        <w:rPr>
          <w:rFonts w:ascii="Calibri" w:hAnsi="Calibri" w:cs="Calibri"/>
          <w:color w:val="17365D" w:themeColor="text2" w:themeShade="BF"/>
          <w:sz w:val="21"/>
          <w:szCs w:val="21"/>
        </w:rPr>
        <w:t xml:space="preserve">If you have any questions, please contact </w:t>
      </w:r>
      <w:r w:rsidR="005E62DA" w:rsidRPr="009C3074">
        <w:rPr>
          <w:rFonts w:ascii="Calibri" w:hAnsi="Calibri" w:cs="Calibri"/>
          <w:color w:val="17365D" w:themeColor="text2" w:themeShade="BF"/>
          <w:sz w:val="21"/>
          <w:szCs w:val="21"/>
        </w:rPr>
        <w:t>t</w:t>
      </w:r>
      <w:r w:rsidR="00ED4CF6" w:rsidRPr="009C3074">
        <w:rPr>
          <w:rFonts w:ascii="Calibri" w:hAnsi="Calibri" w:cs="Calibri"/>
          <w:color w:val="17365D" w:themeColor="text2" w:themeShade="BF"/>
          <w:sz w:val="21"/>
          <w:szCs w:val="21"/>
        </w:rPr>
        <w:t xml:space="preserve">he </w:t>
      </w:r>
      <w:r w:rsidR="001D0F03">
        <w:rPr>
          <w:rFonts w:ascii="Calibri" w:hAnsi="Calibri" w:cs="Calibri"/>
          <w:color w:val="17365D" w:themeColor="text2" w:themeShade="BF"/>
          <w:sz w:val="21"/>
          <w:szCs w:val="21"/>
        </w:rPr>
        <w:t>Office of Faculty Affairs</w:t>
      </w:r>
      <w:r w:rsidR="00ED4CF6" w:rsidRPr="009C3074">
        <w:rPr>
          <w:rFonts w:ascii="Calibri" w:hAnsi="Calibri" w:cs="Calibri"/>
          <w:color w:val="17365D" w:themeColor="text2" w:themeShade="BF"/>
          <w:sz w:val="21"/>
          <w:szCs w:val="21"/>
        </w:rPr>
        <w:t xml:space="preserve"> at</w:t>
      </w:r>
      <w:r w:rsidR="005E62DA" w:rsidRPr="009C3074">
        <w:rPr>
          <w:rFonts w:ascii="Calibri" w:hAnsi="Calibri" w:cs="Calibri"/>
          <w:color w:val="17365D" w:themeColor="text2" w:themeShade="BF"/>
          <w:sz w:val="21"/>
          <w:szCs w:val="21"/>
        </w:rPr>
        <w:t xml:space="preserve"> </w:t>
      </w:r>
      <w:hyperlink r:id="rId17" w:history="1">
        <w:r w:rsidR="001D0F03" w:rsidRPr="00BB55EF">
          <w:rPr>
            <w:rStyle w:val="Hyperlink"/>
            <w:rFonts w:ascii="Calibri" w:hAnsi="Calibri" w:cs="Calibri"/>
            <w:sz w:val="21"/>
            <w:szCs w:val="21"/>
          </w:rPr>
          <w:t>facultyaffairs@ku.edu</w:t>
        </w:r>
      </w:hyperlink>
    </w:p>
    <w:p w14:paraId="4D23F1DB" w14:textId="77777777" w:rsidR="00277A86" w:rsidRDefault="00277A86" w:rsidP="004E34C6">
      <w:pPr>
        <w:rPr>
          <w:rFonts w:ascii="Raleway" w:hAnsi="Raleway"/>
          <w:sz w:val="14"/>
        </w:rPr>
      </w:pPr>
    </w:p>
    <w:sectPr w:rsidR="00277A86" w:rsidSect="00DC0796">
      <w:footerReference w:type="default" r:id="rId18"/>
      <w:headerReference w:type="first" r:id="rId1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8556" w14:textId="77777777" w:rsidR="00635C97" w:rsidRDefault="00635C97" w:rsidP="00176E67">
      <w:r>
        <w:separator/>
      </w:r>
    </w:p>
  </w:endnote>
  <w:endnote w:type="continuationSeparator" w:id="0">
    <w:p w14:paraId="6AB5994F" w14:textId="77777777" w:rsidR="00635C97" w:rsidRDefault="00635C9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3000003" w:usb1="00000000" w:usb2="00000000" w:usb3="00000000" w:csb0="00000001" w:csb1="00000000"/>
  </w:font>
  <w:font w:name="Times">
    <w:panose1 w:val="020206030504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7DC4" w14:textId="60BBB8AF"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C852" w14:textId="77777777" w:rsidR="00635C97" w:rsidRDefault="00635C97" w:rsidP="00176E67">
      <w:r>
        <w:separator/>
      </w:r>
    </w:p>
  </w:footnote>
  <w:footnote w:type="continuationSeparator" w:id="0">
    <w:p w14:paraId="08BD0208" w14:textId="77777777" w:rsidR="00635C97" w:rsidRDefault="00635C9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446918867"/>
      <w:docPartObj>
        <w:docPartGallery w:val="Page Numbers (Top of Page)"/>
        <w:docPartUnique/>
      </w:docPartObj>
    </w:sdtPr>
    <w:sdtEndPr>
      <w:rPr>
        <w:rFonts w:ascii="Times New Roman" w:hAnsi="Times New Roman" w:cs="Times New Roman"/>
        <w:noProof/>
      </w:rPr>
    </w:sdtEndPr>
    <w:sdtContent>
      <w:p w14:paraId="23A014F8" w14:textId="59693CCA" w:rsidR="00DC0796" w:rsidRDefault="00DC0796" w:rsidP="005C332D">
        <w:pPr>
          <w:pStyle w:val="Header"/>
        </w:pPr>
        <w:r w:rsidRPr="00DC0796">
          <w:rPr>
            <w:rFonts w:ascii="Calibri" w:hAnsi="Calibri" w:cs="Calibri"/>
            <w:noProof/>
          </w:rPr>
          <w:drawing>
            <wp:inline distT="0" distB="0" distL="0" distR="0" wp14:anchorId="6BDD50EC" wp14:editId="581D0C60">
              <wp:extent cx="24079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7920" cy="572770"/>
                      </a:xfrm>
                      <a:prstGeom prst="rect">
                        <a:avLst/>
                      </a:prstGeom>
                    </pic:spPr>
                  </pic:pic>
                </a:graphicData>
              </a:graphic>
            </wp:inline>
          </w:drawing>
        </w:r>
      </w:p>
    </w:sdtContent>
  </w:sdt>
  <w:p w14:paraId="309B028A" w14:textId="77777777" w:rsidR="00DC0796" w:rsidRDefault="00DC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12B"/>
    <w:multiLevelType w:val="hybridMultilevel"/>
    <w:tmpl w:val="117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2C79"/>
    <w:multiLevelType w:val="hybridMultilevel"/>
    <w:tmpl w:val="CF5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7AEF"/>
    <w:multiLevelType w:val="hybridMultilevel"/>
    <w:tmpl w:val="4EC67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38CA"/>
    <w:multiLevelType w:val="hybridMultilevel"/>
    <w:tmpl w:val="BC0CC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62BA5"/>
    <w:multiLevelType w:val="hybridMultilevel"/>
    <w:tmpl w:val="3D0A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27DD5"/>
    <w:multiLevelType w:val="hybridMultilevel"/>
    <w:tmpl w:val="705C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D2563"/>
    <w:multiLevelType w:val="hybridMultilevel"/>
    <w:tmpl w:val="EE5CF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7" w15:restartNumberingAfterBreak="0">
    <w:nsid w:val="5C0C7536"/>
    <w:multiLevelType w:val="hybridMultilevel"/>
    <w:tmpl w:val="03E4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96803"/>
    <w:multiLevelType w:val="hybridMultilevel"/>
    <w:tmpl w:val="26BE9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60E2D"/>
    <w:multiLevelType w:val="hybridMultilevel"/>
    <w:tmpl w:val="0F8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424EA"/>
    <w:multiLevelType w:val="hybridMultilevel"/>
    <w:tmpl w:val="D428A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140771">
    <w:abstractNumId w:val="9"/>
  </w:num>
  <w:num w:numId="2" w16cid:durableId="2108498927">
    <w:abstractNumId w:val="2"/>
  </w:num>
  <w:num w:numId="3" w16cid:durableId="1570070504">
    <w:abstractNumId w:val="10"/>
  </w:num>
  <w:num w:numId="4" w16cid:durableId="731276890">
    <w:abstractNumId w:val="3"/>
  </w:num>
  <w:num w:numId="5" w16cid:durableId="39912534">
    <w:abstractNumId w:val="8"/>
  </w:num>
  <w:num w:numId="6" w16cid:durableId="1828664166">
    <w:abstractNumId w:val="0"/>
  </w:num>
  <w:num w:numId="7" w16cid:durableId="2109502383">
    <w:abstractNumId w:val="5"/>
  </w:num>
  <w:num w:numId="8" w16cid:durableId="1753620256">
    <w:abstractNumId w:val="7"/>
  </w:num>
  <w:num w:numId="9" w16cid:durableId="2038894365">
    <w:abstractNumId w:val="4"/>
  </w:num>
  <w:num w:numId="10" w16cid:durableId="60948860">
    <w:abstractNumId w:val="6"/>
  </w:num>
  <w:num w:numId="11" w16cid:durableId="92630246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33"/>
    <w:rsid w:val="000071F7"/>
    <w:rsid w:val="00010B00"/>
    <w:rsid w:val="0002798A"/>
    <w:rsid w:val="00031395"/>
    <w:rsid w:val="00083002"/>
    <w:rsid w:val="00086EF1"/>
    <w:rsid w:val="00087B85"/>
    <w:rsid w:val="000A01F1"/>
    <w:rsid w:val="000C1163"/>
    <w:rsid w:val="000C76C1"/>
    <w:rsid w:val="000C797A"/>
    <w:rsid w:val="000D2539"/>
    <w:rsid w:val="000D2BB8"/>
    <w:rsid w:val="000F2DF4"/>
    <w:rsid w:val="000F6783"/>
    <w:rsid w:val="00120C95"/>
    <w:rsid w:val="0014222F"/>
    <w:rsid w:val="0014663E"/>
    <w:rsid w:val="001509B5"/>
    <w:rsid w:val="00176D64"/>
    <w:rsid w:val="00176E67"/>
    <w:rsid w:val="00180664"/>
    <w:rsid w:val="001903F7"/>
    <w:rsid w:val="0019395E"/>
    <w:rsid w:val="001D0F03"/>
    <w:rsid w:val="001D6B76"/>
    <w:rsid w:val="00211828"/>
    <w:rsid w:val="00250014"/>
    <w:rsid w:val="00275BB5"/>
    <w:rsid w:val="00277A86"/>
    <w:rsid w:val="002862AF"/>
    <w:rsid w:val="00286F6A"/>
    <w:rsid w:val="00291C8C"/>
    <w:rsid w:val="002A1ECE"/>
    <w:rsid w:val="002A2510"/>
    <w:rsid w:val="002A6FA9"/>
    <w:rsid w:val="002B4D1D"/>
    <w:rsid w:val="002C10B1"/>
    <w:rsid w:val="002D222A"/>
    <w:rsid w:val="0030156B"/>
    <w:rsid w:val="003076FD"/>
    <w:rsid w:val="00317005"/>
    <w:rsid w:val="00330050"/>
    <w:rsid w:val="00335259"/>
    <w:rsid w:val="00371E46"/>
    <w:rsid w:val="00380143"/>
    <w:rsid w:val="003929F1"/>
    <w:rsid w:val="003A1B63"/>
    <w:rsid w:val="003A41A1"/>
    <w:rsid w:val="003B2326"/>
    <w:rsid w:val="003D150C"/>
    <w:rsid w:val="003D7DD0"/>
    <w:rsid w:val="00400251"/>
    <w:rsid w:val="00437ED0"/>
    <w:rsid w:val="00440CD8"/>
    <w:rsid w:val="00442DEC"/>
    <w:rsid w:val="00443837"/>
    <w:rsid w:val="00447DAA"/>
    <w:rsid w:val="00450F66"/>
    <w:rsid w:val="00456E23"/>
    <w:rsid w:val="00461696"/>
    <w:rsid w:val="00461739"/>
    <w:rsid w:val="00467865"/>
    <w:rsid w:val="00476AD4"/>
    <w:rsid w:val="0048685F"/>
    <w:rsid w:val="00490804"/>
    <w:rsid w:val="004A1437"/>
    <w:rsid w:val="004A4198"/>
    <w:rsid w:val="004A54EA"/>
    <w:rsid w:val="004B0578"/>
    <w:rsid w:val="004B5FF1"/>
    <w:rsid w:val="004D436E"/>
    <w:rsid w:val="004E34C6"/>
    <w:rsid w:val="004F62AD"/>
    <w:rsid w:val="00501AE8"/>
    <w:rsid w:val="00504B65"/>
    <w:rsid w:val="005114CE"/>
    <w:rsid w:val="0052122B"/>
    <w:rsid w:val="00530D16"/>
    <w:rsid w:val="00552D20"/>
    <w:rsid w:val="005557F6"/>
    <w:rsid w:val="005565B8"/>
    <w:rsid w:val="00563778"/>
    <w:rsid w:val="00596C57"/>
    <w:rsid w:val="005B4AE2"/>
    <w:rsid w:val="005C02D9"/>
    <w:rsid w:val="005C332D"/>
    <w:rsid w:val="005E62DA"/>
    <w:rsid w:val="005E63CC"/>
    <w:rsid w:val="005F6E87"/>
    <w:rsid w:val="00601062"/>
    <w:rsid w:val="00602863"/>
    <w:rsid w:val="00602E12"/>
    <w:rsid w:val="00607FED"/>
    <w:rsid w:val="00613129"/>
    <w:rsid w:val="006170A2"/>
    <w:rsid w:val="00617C65"/>
    <w:rsid w:val="006227AC"/>
    <w:rsid w:val="0063459A"/>
    <w:rsid w:val="00635C97"/>
    <w:rsid w:val="00645B49"/>
    <w:rsid w:val="00654E9A"/>
    <w:rsid w:val="0066126B"/>
    <w:rsid w:val="00682C69"/>
    <w:rsid w:val="006A4148"/>
    <w:rsid w:val="006D2635"/>
    <w:rsid w:val="006D779C"/>
    <w:rsid w:val="006E4F63"/>
    <w:rsid w:val="006E729E"/>
    <w:rsid w:val="006F547F"/>
    <w:rsid w:val="00701D55"/>
    <w:rsid w:val="00722A00"/>
    <w:rsid w:val="00724FA4"/>
    <w:rsid w:val="007325A9"/>
    <w:rsid w:val="0075451A"/>
    <w:rsid w:val="00756F44"/>
    <w:rsid w:val="007602AC"/>
    <w:rsid w:val="00763781"/>
    <w:rsid w:val="00774B67"/>
    <w:rsid w:val="00786E50"/>
    <w:rsid w:val="00793AC6"/>
    <w:rsid w:val="007A71DE"/>
    <w:rsid w:val="007B199B"/>
    <w:rsid w:val="007B3A79"/>
    <w:rsid w:val="007B5197"/>
    <w:rsid w:val="007B6119"/>
    <w:rsid w:val="007C1DA0"/>
    <w:rsid w:val="007C71B8"/>
    <w:rsid w:val="007E2A15"/>
    <w:rsid w:val="007E56C4"/>
    <w:rsid w:val="007F3D5B"/>
    <w:rsid w:val="008107D6"/>
    <w:rsid w:val="0081349F"/>
    <w:rsid w:val="00841645"/>
    <w:rsid w:val="00852EC6"/>
    <w:rsid w:val="00856C35"/>
    <w:rsid w:val="00857765"/>
    <w:rsid w:val="00863D8F"/>
    <w:rsid w:val="00871876"/>
    <w:rsid w:val="008747C7"/>
    <w:rsid w:val="008753A7"/>
    <w:rsid w:val="0088782D"/>
    <w:rsid w:val="008B7081"/>
    <w:rsid w:val="008D7A67"/>
    <w:rsid w:val="008F2F8A"/>
    <w:rsid w:val="008F5BCD"/>
    <w:rsid w:val="00902964"/>
    <w:rsid w:val="00920507"/>
    <w:rsid w:val="00933455"/>
    <w:rsid w:val="00934193"/>
    <w:rsid w:val="0094790F"/>
    <w:rsid w:val="00966B90"/>
    <w:rsid w:val="009737B7"/>
    <w:rsid w:val="009802C4"/>
    <w:rsid w:val="009976D9"/>
    <w:rsid w:val="00997A3E"/>
    <w:rsid w:val="009A12D5"/>
    <w:rsid w:val="009A4EA3"/>
    <w:rsid w:val="009A55DC"/>
    <w:rsid w:val="009A64E4"/>
    <w:rsid w:val="009C220D"/>
    <w:rsid w:val="009C3074"/>
    <w:rsid w:val="00A211B2"/>
    <w:rsid w:val="00A2727E"/>
    <w:rsid w:val="00A35524"/>
    <w:rsid w:val="00A60C9E"/>
    <w:rsid w:val="00A74F99"/>
    <w:rsid w:val="00A82BA3"/>
    <w:rsid w:val="00A94ACC"/>
    <w:rsid w:val="00AA2EA7"/>
    <w:rsid w:val="00AB1B0C"/>
    <w:rsid w:val="00AB623C"/>
    <w:rsid w:val="00AE6FA4"/>
    <w:rsid w:val="00AF7A65"/>
    <w:rsid w:val="00B03907"/>
    <w:rsid w:val="00B059C3"/>
    <w:rsid w:val="00B11811"/>
    <w:rsid w:val="00B252A8"/>
    <w:rsid w:val="00B311E1"/>
    <w:rsid w:val="00B4735C"/>
    <w:rsid w:val="00B52AA0"/>
    <w:rsid w:val="00B579DF"/>
    <w:rsid w:val="00B61440"/>
    <w:rsid w:val="00B70DEE"/>
    <w:rsid w:val="00B90EC2"/>
    <w:rsid w:val="00B97533"/>
    <w:rsid w:val="00BA268F"/>
    <w:rsid w:val="00BA7E56"/>
    <w:rsid w:val="00BC07E3"/>
    <w:rsid w:val="00BD103E"/>
    <w:rsid w:val="00BE2850"/>
    <w:rsid w:val="00BE2A1E"/>
    <w:rsid w:val="00C079CA"/>
    <w:rsid w:val="00C14A6C"/>
    <w:rsid w:val="00C23C51"/>
    <w:rsid w:val="00C45FDA"/>
    <w:rsid w:val="00C5639B"/>
    <w:rsid w:val="00C67741"/>
    <w:rsid w:val="00C74647"/>
    <w:rsid w:val="00C76039"/>
    <w:rsid w:val="00C76480"/>
    <w:rsid w:val="00C80AD2"/>
    <w:rsid w:val="00C8155B"/>
    <w:rsid w:val="00C92A3C"/>
    <w:rsid w:val="00C92FD6"/>
    <w:rsid w:val="00CC0DFB"/>
    <w:rsid w:val="00CD2CC9"/>
    <w:rsid w:val="00CE5DC7"/>
    <w:rsid w:val="00CE7D54"/>
    <w:rsid w:val="00D137F8"/>
    <w:rsid w:val="00D14E73"/>
    <w:rsid w:val="00D55AFA"/>
    <w:rsid w:val="00D6155E"/>
    <w:rsid w:val="00D83A19"/>
    <w:rsid w:val="00D8535B"/>
    <w:rsid w:val="00D8689D"/>
    <w:rsid w:val="00D86A85"/>
    <w:rsid w:val="00D90A75"/>
    <w:rsid w:val="00DA4514"/>
    <w:rsid w:val="00DC0796"/>
    <w:rsid w:val="00DC47A2"/>
    <w:rsid w:val="00DE1551"/>
    <w:rsid w:val="00DE1A09"/>
    <w:rsid w:val="00DE738D"/>
    <w:rsid w:val="00DE7FB7"/>
    <w:rsid w:val="00E106E2"/>
    <w:rsid w:val="00E20DDA"/>
    <w:rsid w:val="00E32A8B"/>
    <w:rsid w:val="00E3315F"/>
    <w:rsid w:val="00E36054"/>
    <w:rsid w:val="00E37E7B"/>
    <w:rsid w:val="00E46E04"/>
    <w:rsid w:val="00E52D05"/>
    <w:rsid w:val="00E653F2"/>
    <w:rsid w:val="00E87396"/>
    <w:rsid w:val="00E96F6F"/>
    <w:rsid w:val="00EA6CA3"/>
    <w:rsid w:val="00EB478A"/>
    <w:rsid w:val="00EB67FF"/>
    <w:rsid w:val="00EC42A3"/>
    <w:rsid w:val="00ED17E7"/>
    <w:rsid w:val="00ED3D2D"/>
    <w:rsid w:val="00ED4CF6"/>
    <w:rsid w:val="00EF7F92"/>
    <w:rsid w:val="00F03E3A"/>
    <w:rsid w:val="00F26A2A"/>
    <w:rsid w:val="00F36AB3"/>
    <w:rsid w:val="00F55AA1"/>
    <w:rsid w:val="00F62580"/>
    <w:rsid w:val="00F66B41"/>
    <w:rsid w:val="00F83033"/>
    <w:rsid w:val="00F966AA"/>
    <w:rsid w:val="00FB538F"/>
    <w:rsid w:val="00FC3071"/>
    <w:rsid w:val="00FC7A4F"/>
    <w:rsid w:val="00FD5902"/>
    <w:rsid w:val="00FF1313"/>
    <w:rsid w:val="00FF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CD45A"/>
  <w15:docId w15:val="{981207D4-25B7-4B17-8A0B-B15A046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B5"/>
    <w:rPr>
      <w:sz w:val="24"/>
      <w:szCs w:val="24"/>
    </w:rPr>
  </w:style>
  <w:style w:type="paragraph" w:styleId="Heading1">
    <w:name w:val="heading 1"/>
    <w:basedOn w:val="Normal"/>
    <w:next w:val="Normal"/>
    <w:qFormat/>
    <w:rsid w:val="00856C35"/>
    <w:pPr>
      <w:spacing w:before="200" w:after="120"/>
      <w:outlineLvl w:val="0"/>
    </w:pPr>
    <w:rPr>
      <w:rFonts w:asciiTheme="majorHAnsi" w:hAnsiTheme="majorHAnsi"/>
      <w:b/>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nhideWhenUsed/>
    <w:rsid w:val="00086EF1"/>
    <w:rPr>
      <w:color w:val="0000FF" w:themeColor="hyperlink"/>
      <w:u w:val="single"/>
    </w:rPr>
  </w:style>
  <w:style w:type="paragraph" w:styleId="ListParagraph">
    <w:name w:val="List Paragraph"/>
    <w:basedOn w:val="Normal"/>
    <w:uiPriority w:val="34"/>
    <w:qFormat/>
    <w:rsid w:val="007B3A79"/>
    <w:pPr>
      <w:ind w:left="720"/>
      <w:contextualSpacing/>
    </w:pPr>
  </w:style>
  <w:style w:type="paragraph" w:styleId="BodyText2">
    <w:name w:val="Body Text 2"/>
    <w:basedOn w:val="Normal"/>
    <w:link w:val="BodyText2Char"/>
    <w:rsid w:val="00277A86"/>
    <w:rPr>
      <w:rFonts w:ascii="Geneva" w:eastAsia="Times" w:hAnsi="Geneva"/>
      <w:i/>
      <w:color w:val="000000"/>
      <w:sz w:val="20"/>
      <w:szCs w:val="20"/>
    </w:rPr>
  </w:style>
  <w:style w:type="character" w:customStyle="1" w:styleId="BodyText2Char">
    <w:name w:val="Body Text 2 Char"/>
    <w:basedOn w:val="DefaultParagraphFont"/>
    <w:link w:val="BodyText2"/>
    <w:rsid w:val="00277A86"/>
    <w:rPr>
      <w:rFonts w:ascii="Geneva" w:eastAsia="Times" w:hAnsi="Geneva"/>
      <w:i/>
      <w:color w:val="000000"/>
    </w:rPr>
  </w:style>
  <w:style w:type="character" w:styleId="FollowedHyperlink">
    <w:name w:val="FollowedHyperlink"/>
    <w:basedOn w:val="DefaultParagraphFont"/>
    <w:uiPriority w:val="99"/>
    <w:semiHidden/>
    <w:unhideWhenUsed/>
    <w:rsid w:val="00645B49"/>
    <w:rPr>
      <w:color w:val="800080" w:themeColor="followedHyperlink"/>
      <w:u w:val="single"/>
    </w:rPr>
  </w:style>
  <w:style w:type="character" w:styleId="UnresolvedMention">
    <w:name w:val="Unresolved Mention"/>
    <w:basedOn w:val="DefaultParagraphFont"/>
    <w:uiPriority w:val="99"/>
    <w:semiHidden/>
    <w:unhideWhenUsed/>
    <w:rsid w:val="005E62DA"/>
    <w:rPr>
      <w:color w:val="605E5C"/>
      <w:shd w:val="clear" w:color="auto" w:fill="E1DFDD"/>
    </w:rPr>
  </w:style>
  <w:style w:type="paragraph" w:styleId="NormalWeb">
    <w:name w:val="Normal (Web)"/>
    <w:basedOn w:val="Normal"/>
    <w:uiPriority w:val="99"/>
    <w:semiHidden/>
    <w:unhideWhenUsed/>
    <w:rsid w:val="005565B8"/>
    <w:pPr>
      <w:spacing w:before="100" w:beforeAutospacing="1" w:after="100" w:afterAutospacing="1"/>
    </w:pPr>
  </w:style>
  <w:style w:type="character" w:styleId="IntenseEmphasis">
    <w:name w:val="Intense Emphasis"/>
    <w:basedOn w:val="DefaultParagraphFont"/>
    <w:uiPriority w:val="21"/>
    <w:qFormat/>
    <w:rsid w:val="00D137F8"/>
    <w:rPr>
      <w:i/>
      <w:iCs/>
      <w:color w:val="4F81BD" w:themeColor="accent1"/>
    </w:rPr>
  </w:style>
  <w:style w:type="paragraph" w:customStyle="1" w:styleId="paragraph">
    <w:name w:val="paragraph"/>
    <w:basedOn w:val="Normal"/>
    <w:rsid w:val="00B52AA0"/>
    <w:pPr>
      <w:spacing w:before="100" w:beforeAutospacing="1" w:after="100" w:afterAutospacing="1"/>
    </w:pPr>
  </w:style>
  <w:style w:type="character" w:customStyle="1" w:styleId="normaltextrun">
    <w:name w:val="normaltextrun"/>
    <w:basedOn w:val="DefaultParagraphFont"/>
    <w:rsid w:val="00B52AA0"/>
  </w:style>
  <w:style w:type="character" w:customStyle="1" w:styleId="markqn9e67tzq">
    <w:name w:val="markqn9e67tzq"/>
    <w:basedOn w:val="DefaultParagraphFont"/>
    <w:rsid w:val="00B52AA0"/>
  </w:style>
  <w:style w:type="character" w:customStyle="1" w:styleId="markvsotd1i8s">
    <w:name w:val="markvsotd1i8s"/>
    <w:basedOn w:val="DefaultParagraphFont"/>
    <w:rsid w:val="00B5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3449">
      <w:bodyDiv w:val="1"/>
      <w:marLeft w:val="0"/>
      <w:marRight w:val="0"/>
      <w:marTop w:val="0"/>
      <w:marBottom w:val="0"/>
      <w:divBdr>
        <w:top w:val="none" w:sz="0" w:space="0" w:color="auto"/>
        <w:left w:val="none" w:sz="0" w:space="0" w:color="auto"/>
        <w:bottom w:val="none" w:sz="0" w:space="0" w:color="auto"/>
        <w:right w:val="none" w:sz="0" w:space="0" w:color="auto"/>
      </w:divBdr>
    </w:div>
    <w:div w:id="726875102">
      <w:bodyDiv w:val="1"/>
      <w:marLeft w:val="0"/>
      <w:marRight w:val="0"/>
      <w:marTop w:val="0"/>
      <w:marBottom w:val="0"/>
      <w:divBdr>
        <w:top w:val="none" w:sz="0" w:space="0" w:color="auto"/>
        <w:left w:val="none" w:sz="0" w:space="0" w:color="auto"/>
        <w:bottom w:val="none" w:sz="0" w:space="0" w:color="auto"/>
        <w:right w:val="none" w:sz="0" w:space="0" w:color="auto"/>
      </w:divBdr>
      <w:divsChild>
        <w:div w:id="702946370">
          <w:marLeft w:val="0"/>
          <w:marRight w:val="0"/>
          <w:marTop w:val="0"/>
          <w:marBottom w:val="0"/>
          <w:divBdr>
            <w:top w:val="none" w:sz="0" w:space="0" w:color="auto"/>
            <w:left w:val="none" w:sz="0" w:space="0" w:color="auto"/>
            <w:bottom w:val="none" w:sz="0" w:space="0" w:color="auto"/>
            <w:right w:val="none" w:sz="0" w:space="0" w:color="auto"/>
          </w:divBdr>
          <w:divsChild>
            <w:div w:id="417409393">
              <w:marLeft w:val="0"/>
              <w:marRight w:val="0"/>
              <w:marTop w:val="0"/>
              <w:marBottom w:val="0"/>
              <w:divBdr>
                <w:top w:val="none" w:sz="0" w:space="0" w:color="auto"/>
                <w:left w:val="none" w:sz="0" w:space="0" w:color="auto"/>
                <w:bottom w:val="none" w:sz="0" w:space="0" w:color="auto"/>
                <w:right w:val="none" w:sz="0" w:space="0" w:color="auto"/>
              </w:divBdr>
            </w:div>
            <w:div w:id="2001541360">
              <w:marLeft w:val="0"/>
              <w:marRight w:val="0"/>
              <w:marTop w:val="0"/>
              <w:marBottom w:val="0"/>
              <w:divBdr>
                <w:top w:val="none" w:sz="0" w:space="0" w:color="auto"/>
                <w:left w:val="none" w:sz="0" w:space="0" w:color="auto"/>
                <w:bottom w:val="none" w:sz="0" w:space="0" w:color="auto"/>
                <w:right w:val="none" w:sz="0" w:space="0" w:color="auto"/>
              </w:divBdr>
            </w:div>
            <w:div w:id="883905459">
              <w:marLeft w:val="0"/>
              <w:marRight w:val="0"/>
              <w:marTop w:val="0"/>
              <w:marBottom w:val="0"/>
              <w:divBdr>
                <w:top w:val="none" w:sz="0" w:space="0" w:color="auto"/>
                <w:left w:val="none" w:sz="0" w:space="0" w:color="auto"/>
                <w:bottom w:val="none" w:sz="0" w:space="0" w:color="auto"/>
                <w:right w:val="none" w:sz="0" w:space="0" w:color="auto"/>
              </w:divBdr>
            </w:div>
            <w:div w:id="634795317">
              <w:marLeft w:val="0"/>
              <w:marRight w:val="0"/>
              <w:marTop w:val="0"/>
              <w:marBottom w:val="0"/>
              <w:divBdr>
                <w:top w:val="none" w:sz="0" w:space="0" w:color="auto"/>
                <w:left w:val="none" w:sz="0" w:space="0" w:color="auto"/>
                <w:bottom w:val="none" w:sz="0" w:space="0" w:color="auto"/>
                <w:right w:val="none" w:sz="0" w:space="0" w:color="auto"/>
              </w:divBdr>
            </w:div>
            <w:div w:id="11615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1394">
      <w:bodyDiv w:val="1"/>
      <w:marLeft w:val="0"/>
      <w:marRight w:val="0"/>
      <w:marTop w:val="0"/>
      <w:marBottom w:val="0"/>
      <w:divBdr>
        <w:top w:val="none" w:sz="0" w:space="0" w:color="auto"/>
        <w:left w:val="none" w:sz="0" w:space="0" w:color="auto"/>
        <w:bottom w:val="none" w:sz="0" w:space="0" w:color="auto"/>
        <w:right w:val="none" w:sz="0" w:space="0" w:color="auto"/>
      </w:divBdr>
      <w:divsChild>
        <w:div w:id="180511816">
          <w:marLeft w:val="0"/>
          <w:marRight w:val="0"/>
          <w:marTop w:val="0"/>
          <w:marBottom w:val="0"/>
          <w:divBdr>
            <w:top w:val="none" w:sz="0" w:space="0" w:color="auto"/>
            <w:left w:val="none" w:sz="0" w:space="0" w:color="auto"/>
            <w:bottom w:val="none" w:sz="0" w:space="0" w:color="auto"/>
            <w:right w:val="none" w:sz="0" w:space="0" w:color="auto"/>
          </w:divBdr>
        </w:div>
      </w:divsChild>
    </w:div>
    <w:div w:id="938103353">
      <w:bodyDiv w:val="1"/>
      <w:marLeft w:val="0"/>
      <w:marRight w:val="0"/>
      <w:marTop w:val="0"/>
      <w:marBottom w:val="0"/>
      <w:divBdr>
        <w:top w:val="none" w:sz="0" w:space="0" w:color="auto"/>
        <w:left w:val="none" w:sz="0" w:space="0" w:color="auto"/>
        <w:bottom w:val="none" w:sz="0" w:space="0" w:color="auto"/>
        <w:right w:val="none" w:sz="0" w:space="0" w:color="auto"/>
      </w:divBdr>
    </w:div>
    <w:div w:id="1213729763">
      <w:bodyDiv w:val="1"/>
      <w:marLeft w:val="0"/>
      <w:marRight w:val="0"/>
      <w:marTop w:val="0"/>
      <w:marBottom w:val="0"/>
      <w:divBdr>
        <w:top w:val="none" w:sz="0" w:space="0" w:color="auto"/>
        <w:left w:val="none" w:sz="0" w:space="0" w:color="auto"/>
        <w:bottom w:val="none" w:sz="0" w:space="0" w:color="auto"/>
        <w:right w:val="none" w:sz="0" w:space="0" w:color="auto"/>
      </w:divBdr>
    </w:div>
    <w:div w:id="1616406779">
      <w:bodyDiv w:val="1"/>
      <w:marLeft w:val="0"/>
      <w:marRight w:val="0"/>
      <w:marTop w:val="0"/>
      <w:marBottom w:val="0"/>
      <w:divBdr>
        <w:top w:val="none" w:sz="0" w:space="0" w:color="auto"/>
        <w:left w:val="none" w:sz="0" w:space="0" w:color="auto"/>
        <w:bottom w:val="none" w:sz="0" w:space="0" w:color="auto"/>
        <w:right w:val="none" w:sz="0" w:space="0" w:color="auto"/>
      </w:divBdr>
      <w:divsChild>
        <w:div w:id="199632561">
          <w:marLeft w:val="0"/>
          <w:marRight w:val="0"/>
          <w:marTop w:val="0"/>
          <w:marBottom w:val="0"/>
          <w:divBdr>
            <w:top w:val="none" w:sz="0" w:space="0" w:color="auto"/>
            <w:left w:val="none" w:sz="0" w:space="0" w:color="auto"/>
            <w:bottom w:val="none" w:sz="0" w:space="0" w:color="auto"/>
            <w:right w:val="none" w:sz="0" w:space="0" w:color="auto"/>
          </w:divBdr>
        </w:div>
      </w:divsChild>
    </w:div>
    <w:div w:id="20563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re.ku.edu/academic-analyt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licy.ku.edu/provost/interruption-of-tenure-clock" TargetMode="External"/><Relationship Id="rId17" Type="http://schemas.openxmlformats.org/officeDocument/2006/relationships/hyperlink" Target="mailto:facultyaffairs@ku.edu" TargetMode="External"/><Relationship Id="rId2" Type="http://schemas.openxmlformats.org/officeDocument/2006/relationships/customXml" Target="../customXml/item2.xml"/><Relationship Id="rId16" Type="http://schemas.openxmlformats.org/officeDocument/2006/relationships/hyperlink" Target="https://facultyaffairs.ku.edu/promotion-and-ten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cultyaffairs.ku.edu/promotion-and-tenure" TargetMode="External"/><Relationship Id="rId5" Type="http://schemas.openxmlformats.org/officeDocument/2006/relationships/styles" Target="styles.xml"/><Relationship Id="rId15" Type="http://schemas.openxmlformats.org/officeDocument/2006/relationships/hyperlink" Target="https://cte.ku.edu/benchmarks-teaching-effectiveness-project" TargetMode="External"/><Relationship Id="rId10" Type="http://schemas.openxmlformats.org/officeDocument/2006/relationships/hyperlink" Target="http://policy.ku.edu/governance/FSR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te.ku.edu/representing-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2006/documentManagement/types"/>
    <ds:schemaRef ds:uri="http://purl.org/dc/dcmitype/"/>
    <ds:schemaRef ds:uri="http://schemas.openxmlformats.org/package/2006/metadata/core-properties"/>
    <ds:schemaRef ds:uri="4873beb7-5857-4685-be1f-d57550cc96cc"/>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TotalTime>
  <Pages>4</Pages>
  <Words>1405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The University of Kansas</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Handout</dc:title>
  <dc:creator>Bowling, Sarah Almetra</dc:creator>
  <cp:lastModifiedBy>Huggins, Yolanda L</cp:lastModifiedBy>
  <cp:revision>3</cp:revision>
  <cp:lastPrinted>2002-05-23T18:14:00Z</cp:lastPrinted>
  <dcterms:created xsi:type="dcterms:W3CDTF">2023-05-03T17:35:00Z</dcterms:created>
  <dcterms:modified xsi:type="dcterms:W3CDTF">2023-05-03T17:40:00Z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